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A2E7" w14:textId="77777777" w:rsidR="00086822" w:rsidRPr="008B11DD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DA33F0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744A0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057B7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1B3B1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t>ТЕХНИЧЕСКA СПЕЦИФИКАЦИЯ</w:t>
      </w:r>
    </w:p>
    <w:p w14:paraId="6EA74738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42FD9" w14:textId="77777777" w:rsidR="0008682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C5F16" w14:textId="77777777" w:rsidR="00A03BB2" w:rsidRPr="007C32F0" w:rsidRDefault="00086822" w:rsidP="00086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t>за обект:</w:t>
      </w:r>
      <w:r w:rsidR="007A7F30" w:rsidRPr="007A7F30">
        <w:t xml:space="preserve"> </w:t>
      </w:r>
      <w:r w:rsidR="007A7F30" w:rsidRPr="007A7F30">
        <w:rPr>
          <w:rFonts w:ascii="Times New Roman" w:hAnsi="Times New Roman" w:cs="Times New Roman"/>
          <w:b/>
          <w:sz w:val="24"/>
          <w:szCs w:val="24"/>
        </w:rPr>
        <w:t>„Избор на изпълнител за извършване на строително-монтажни работи на обект: „Проектиране на ВиК в гр. Свиленград - кв.39, кв.307, кв.308, кв.309, кв.310, кв.311, кв.312 и кв.313““</w:t>
      </w:r>
    </w:p>
    <w:p w14:paraId="3C28C53B" w14:textId="77777777" w:rsidR="00086822" w:rsidRPr="007C32F0" w:rsidRDefault="00086822">
      <w:pPr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233431" w14:textId="77777777" w:rsidR="00640AF3" w:rsidRPr="007C32F0" w:rsidRDefault="00640AF3" w:rsidP="00640A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5E169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58065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14:paraId="6D4B67D9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BE2C7" w14:textId="77777777" w:rsidR="008B11DD" w:rsidRPr="008B11DD" w:rsidRDefault="00640AF3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r w:rsidRPr="007C32F0">
        <w:rPr>
          <w:rFonts w:ascii="Times New Roman" w:hAnsi="Times New Roman"/>
          <w:sz w:val="24"/>
          <w:szCs w:val="24"/>
          <w:lang w:val="bg-BG"/>
        </w:rPr>
        <w:fldChar w:fldCharType="begin"/>
      </w:r>
      <w:r w:rsidRPr="007C32F0">
        <w:rPr>
          <w:rFonts w:ascii="Times New Roman" w:hAnsi="Times New Roman"/>
          <w:sz w:val="24"/>
          <w:szCs w:val="24"/>
          <w:lang w:val="bg-BG"/>
        </w:rPr>
        <w:instrText xml:space="preserve"> TOC \o "1-4" \h \z \u </w:instrText>
      </w:r>
      <w:r w:rsidRPr="007C32F0">
        <w:rPr>
          <w:rFonts w:ascii="Times New Roman" w:hAnsi="Times New Roman"/>
          <w:sz w:val="24"/>
          <w:szCs w:val="24"/>
          <w:lang w:val="bg-BG"/>
        </w:rPr>
        <w:fldChar w:fldCharType="separate"/>
      </w:r>
      <w:hyperlink w:anchor="_Toc454193009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Предмет: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_Toc454193009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3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E9791FC" w14:textId="77777777" w:rsidR="008B11DD" w:rsidRPr="008B11DD" w:rsidRDefault="00421B41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0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2.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Цели и задачи на обекта: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_Toc454193010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3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67C83209" w14:textId="77777777" w:rsidR="008B11DD" w:rsidRPr="008B11DD" w:rsidRDefault="00421B41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1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3.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Описание на дейностите по обекта: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_Toc454193011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3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6345F2C" w14:textId="77777777" w:rsidR="008B11DD" w:rsidRPr="008B11DD" w:rsidRDefault="00421B41">
      <w:pPr>
        <w:pStyle w:val="TOC2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2" w:history="1"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3.1.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Изграждане/реконструкция на водопроводна мрежа: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_Toc454193012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3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2233D954" w14:textId="77777777" w:rsidR="008B11DD" w:rsidRPr="008B11DD" w:rsidRDefault="00421B41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3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4.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Обща част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_Toc454193013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5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A2523CA" w14:textId="77777777" w:rsidR="008B11DD" w:rsidRPr="008B11DD" w:rsidRDefault="00421B41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4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Специална част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_Toc454193014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7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DDABFAB" w14:textId="77777777" w:rsidR="008B11DD" w:rsidRPr="008B11DD" w:rsidRDefault="00421B41">
      <w:pPr>
        <w:pStyle w:val="TOC2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5" w:history="1"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5.1.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Водопроводна мрежа: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_Toc454193015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7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BF7E14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6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Тръби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_Toc454193016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7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F8B538A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7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5.1.2.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Фасонни части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_Toc454193017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7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F10A5AE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8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5.1.3.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Арматури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_Toc454193018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7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1CB0E82B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19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5.1.4.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Начин на полагане на тръбопроводите: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_Toc454193019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8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49C778E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0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5.1.5.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Общи положения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_Toc454193020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8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4775553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1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5.1.5.1.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Сградни водопроводни отклонения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_Toc454193021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8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7111053A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2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5.1.5.2.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Полагане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_Toc454193022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8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5026520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3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5.1.5.3.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Отводняване на изкоп от подпочвени води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_Toc454193023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9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7EE5B8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4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5.1.6.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Изпитване и дезинфекция на водопроводите: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_Toc454193024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9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4E3B5C1C" w14:textId="77777777" w:rsidR="008B11DD" w:rsidRPr="008B11DD" w:rsidRDefault="00421B41">
      <w:pPr>
        <w:pStyle w:val="TOC2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5" w:history="1"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5.2.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Канализационна мрежа: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_Toc454193025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9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6496BD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6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5.2.1.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Тръби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_Toc454193026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9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9BC31B6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7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5.2.2.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Ревизионни шахти и дъждоприемни шахти (улични оттоци).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_Toc454193027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9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23CBFBF2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8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5.2.3.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Начин на полагане на тръбопроводите: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_Toc454193028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10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638D2AC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29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5.2.4.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Общи положения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_Toc454193029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10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9B0345F" w14:textId="77777777" w:rsidR="008B11DD" w:rsidRPr="008B11DD" w:rsidRDefault="00421B41">
      <w:pPr>
        <w:pStyle w:val="TOC3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30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5.2.5.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Изкопи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_Toc454193030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10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7D5ECF0" w14:textId="77777777" w:rsidR="008B11DD" w:rsidRPr="008B11DD" w:rsidRDefault="00421B41">
      <w:pPr>
        <w:pStyle w:val="TOC2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31" w:history="1"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5.3.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  <w:lang w:val="bg-BG"/>
          </w:rPr>
          <w:t>Допълнителни изисквания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_Toc454193031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10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24EF9785" w14:textId="77777777" w:rsidR="008B11DD" w:rsidRPr="008B11DD" w:rsidRDefault="00421B41">
      <w:pPr>
        <w:pStyle w:val="TOC1"/>
        <w:rPr>
          <w:rFonts w:ascii="Times New Roman" w:eastAsiaTheme="minorEastAsia" w:hAnsi="Times New Roman"/>
          <w:noProof/>
          <w:sz w:val="24"/>
          <w:lang w:val="bg-BG" w:eastAsia="bg-BG"/>
        </w:rPr>
      </w:pPr>
      <w:hyperlink w:anchor="_Toc454193032" w:history="1"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6.</w:t>
        </w:r>
        <w:r w:rsidR="008B11DD" w:rsidRPr="008B11DD">
          <w:rPr>
            <w:rFonts w:ascii="Times New Roman" w:eastAsiaTheme="minorEastAsia" w:hAnsi="Times New Roman"/>
            <w:noProof/>
            <w:sz w:val="24"/>
            <w:lang w:val="bg-BG" w:eastAsia="bg-BG"/>
          </w:rPr>
          <w:tab/>
        </w:r>
        <w:r w:rsidR="008B11DD" w:rsidRPr="008B11DD">
          <w:rPr>
            <w:rStyle w:val="Hyperlink"/>
            <w:rFonts w:ascii="Times New Roman" w:hAnsi="Times New Roman"/>
            <w:noProof/>
            <w:sz w:val="24"/>
          </w:rPr>
          <w:t>Линеен календарен график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ab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instrText xml:space="preserve"> PAGEREF _Toc454193032 \h </w:instrText>
        </w:r>
        <w:r w:rsidR="008B11DD" w:rsidRPr="008B11DD">
          <w:rPr>
            <w:rFonts w:ascii="Times New Roman" w:hAnsi="Times New Roman"/>
            <w:noProof/>
            <w:webHidden/>
            <w:sz w:val="24"/>
          </w:rPr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t>11</w:t>
        </w:r>
        <w:r w:rsidR="008B11DD" w:rsidRPr="008B11DD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1694851D" w14:textId="77777777" w:rsidR="00640AF3" w:rsidRPr="007C32F0" w:rsidRDefault="00640AF3" w:rsidP="00640AF3">
      <w:pPr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C35B10" w14:textId="77777777" w:rsidR="00640AF3" w:rsidRPr="007C32F0" w:rsidRDefault="00640AF3" w:rsidP="00640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895121" w14:textId="77777777" w:rsidR="00640AF3" w:rsidRPr="007C32F0" w:rsidRDefault="00640AF3" w:rsidP="00640AF3">
      <w:pPr>
        <w:pStyle w:val="Heading1"/>
        <w:keepLines/>
        <w:numPr>
          <w:ilvl w:val="0"/>
          <w:numId w:val="1"/>
        </w:numPr>
        <w:tabs>
          <w:tab w:val="left" w:pos="284"/>
        </w:tabs>
        <w:spacing w:before="48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Toc337126916"/>
      <w:bookmarkStart w:id="1" w:name="_Toc454193009"/>
      <w:r w:rsidRPr="007C32F0">
        <w:rPr>
          <w:rFonts w:ascii="Times New Roman" w:hAnsi="Times New Roman"/>
          <w:sz w:val="24"/>
          <w:szCs w:val="24"/>
        </w:rPr>
        <w:lastRenderedPageBreak/>
        <w:t>Предмет:</w:t>
      </w:r>
      <w:bookmarkEnd w:id="0"/>
      <w:bookmarkEnd w:id="1"/>
    </w:p>
    <w:p w14:paraId="15FA0A13" w14:textId="77777777" w:rsidR="00C828F7" w:rsidRPr="007C32F0" w:rsidRDefault="00640AF3" w:rsidP="005E66A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413013">
        <w:rPr>
          <w:rFonts w:ascii="Times New Roman" w:hAnsi="Times New Roman" w:cs="Times New Roman"/>
          <w:sz w:val="24"/>
          <w:szCs w:val="24"/>
        </w:rPr>
        <w:t xml:space="preserve">Предметът на </w:t>
      </w:r>
      <w:r w:rsidR="00413013" w:rsidRPr="00413013">
        <w:rPr>
          <w:rFonts w:ascii="Times New Roman" w:hAnsi="Times New Roman" w:cs="Times New Roman"/>
          <w:sz w:val="24"/>
          <w:szCs w:val="24"/>
        </w:rPr>
        <w:t xml:space="preserve">обществената поръчка </w:t>
      </w:r>
      <w:r w:rsidRPr="00413013">
        <w:rPr>
          <w:rFonts w:ascii="Times New Roman" w:hAnsi="Times New Roman" w:cs="Times New Roman"/>
          <w:sz w:val="24"/>
          <w:szCs w:val="24"/>
        </w:rPr>
        <w:t xml:space="preserve">е: </w:t>
      </w:r>
      <w:r w:rsidR="00413013" w:rsidRPr="00413013">
        <w:rPr>
          <w:rFonts w:ascii="Times New Roman" w:hAnsi="Times New Roman" w:cs="Times New Roman"/>
          <w:b/>
          <w:sz w:val="24"/>
          <w:szCs w:val="24"/>
          <w:lang w:eastAsia="x-none"/>
        </w:rPr>
        <w:t>„Избор на изпълнител за извършване на строително-монтажни работи на обект: „Проектиране на ВиК в гр. Свиленград - кв.39, кв.307, кв.308, кв.309, кв.310, кв.311, кв.312 и кв.313““</w:t>
      </w:r>
    </w:p>
    <w:p w14:paraId="34613F63" w14:textId="77777777" w:rsidR="00640AF3" w:rsidRPr="00413013" w:rsidRDefault="00640AF3" w:rsidP="00640AF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 xml:space="preserve">Необходимо е да се избере изпълнител, който да започне, изпълни и успешно да завърши в срок, обем и качество необходимите </w:t>
      </w:r>
      <w:r w:rsidR="004C55BA" w:rsidRPr="007C32F0">
        <w:rPr>
          <w:rFonts w:ascii="Times New Roman" w:hAnsi="Times New Roman" w:cs="Times New Roman"/>
          <w:sz w:val="24"/>
          <w:szCs w:val="24"/>
        </w:rPr>
        <w:t>СМР до предаване на обекта на Възложителя с Протокол Образец15</w:t>
      </w:r>
      <w:r w:rsidRPr="007C32F0">
        <w:rPr>
          <w:rFonts w:ascii="Times New Roman" w:hAnsi="Times New Roman" w:cs="Times New Roman"/>
          <w:sz w:val="24"/>
          <w:szCs w:val="24"/>
        </w:rPr>
        <w:t>.</w:t>
      </w:r>
    </w:p>
    <w:p w14:paraId="11C9938E" w14:textId="77777777" w:rsidR="00640AF3" w:rsidRPr="007C32F0" w:rsidRDefault="00640AF3" w:rsidP="00640AF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Обхватът включва следните елементи:</w:t>
      </w:r>
    </w:p>
    <w:p w14:paraId="7D2E7936" w14:textId="77777777" w:rsidR="00640AF3" w:rsidRPr="007C32F0" w:rsidRDefault="00260F70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>Изграждане/р</w:t>
      </w:r>
      <w:r w:rsidR="00640AF3" w:rsidRPr="007C32F0">
        <w:rPr>
          <w:szCs w:val="24"/>
        </w:rPr>
        <w:t>еконструкция на водопроводна мрежа, СВО и съоръжения;</w:t>
      </w:r>
    </w:p>
    <w:p w14:paraId="7AED0985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>Изграждане</w:t>
      </w:r>
      <w:r w:rsidR="00260F70" w:rsidRPr="007C32F0">
        <w:rPr>
          <w:szCs w:val="24"/>
        </w:rPr>
        <w:t>/</w:t>
      </w:r>
      <w:r w:rsidR="00C53F1F" w:rsidRPr="007C32F0">
        <w:rPr>
          <w:szCs w:val="24"/>
        </w:rPr>
        <w:t>р</w:t>
      </w:r>
      <w:r w:rsidR="00260F70" w:rsidRPr="007C32F0">
        <w:rPr>
          <w:szCs w:val="24"/>
        </w:rPr>
        <w:t>еконструкция</w:t>
      </w:r>
      <w:r w:rsidRPr="007C32F0">
        <w:rPr>
          <w:szCs w:val="24"/>
        </w:rPr>
        <w:t xml:space="preserve"> на канализационна мрежа, СКО и съоръжения;</w:t>
      </w:r>
    </w:p>
    <w:p w14:paraId="72932BB9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>Изпитания и документация по предаване на обекта</w:t>
      </w:r>
      <w:r w:rsidR="00260F70" w:rsidRPr="007C32F0">
        <w:rPr>
          <w:szCs w:val="24"/>
        </w:rPr>
        <w:t>,</w:t>
      </w:r>
      <w:r w:rsidRPr="007C32F0">
        <w:rPr>
          <w:szCs w:val="24"/>
        </w:rPr>
        <w:t xml:space="preserve"> според </w:t>
      </w:r>
      <w:r w:rsidR="00260F70" w:rsidRPr="007C32F0">
        <w:rPr>
          <w:szCs w:val="24"/>
        </w:rPr>
        <w:t xml:space="preserve">изискванията на </w:t>
      </w:r>
      <w:r w:rsidRPr="007C32F0">
        <w:rPr>
          <w:szCs w:val="24"/>
        </w:rPr>
        <w:t xml:space="preserve">Наредба </w:t>
      </w:r>
      <w:r w:rsidR="00260F70" w:rsidRPr="007C32F0">
        <w:rPr>
          <w:szCs w:val="24"/>
        </w:rPr>
        <w:t xml:space="preserve">№ </w:t>
      </w:r>
      <w:r w:rsidRPr="007C32F0">
        <w:rPr>
          <w:szCs w:val="24"/>
        </w:rPr>
        <w:t xml:space="preserve">2 за въвеждане в експлоатация на строежите </w:t>
      </w:r>
      <w:r w:rsidR="00260F70" w:rsidRPr="007C32F0">
        <w:rPr>
          <w:szCs w:val="24"/>
        </w:rPr>
        <w:t xml:space="preserve">в </w:t>
      </w:r>
      <w:r w:rsidRPr="007C32F0">
        <w:rPr>
          <w:szCs w:val="24"/>
        </w:rPr>
        <w:t>Република България и минимални гаранционни срокове за изпълнени строителни и монтажни работи</w:t>
      </w:r>
      <w:r w:rsidR="00260F70" w:rsidRPr="007C32F0">
        <w:rPr>
          <w:szCs w:val="24"/>
        </w:rPr>
        <w:t>, съоръжения и строителни обекти</w:t>
      </w:r>
      <w:r w:rsidRPr="007C32F0">
        <w:rPr>
          <w:szCs w:val="24"/>
        </w:rPr>
        <w:t xml:space="preserve"> и Наредба </w:t>
      </w:r>
      <w:r w:rsidR="00260F70" w:rsidRPr="007C32F0">
        <w:rPr>
          <w:szCs w:val="24"/>
        </w:rPr>
        <w:t xml:space="preserve">№ </w:t>
      </w:r>
      <w:r w:rsidRPr="007C32F0">
        <w:rPr>
          <w:szCs w:val="24"/>
        </w:rPr>
        <w:t>3 за съставяне на актове и протоколи по време на строителството;</w:t>
      </w:r>
    </w:p>
    <w:p w14:paraId="13015484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Предаване на обекта </w:t>
      </w:r>
      <w:r w:rsidR="00753478" w:rsidRPr="007C32F0">
        <w:rPr>
          <w:szCs w:val="24"/>
        </w:rPr>
        <w:t xml:space="preserve">на Възложителя </w:t>
      </w:r>
      <w:r w:rsidRPr="007C32F0">
        <w:rPr>
          <w:szCs w:val="24"/>
        </w:rPr>
        <w:t>с подписване на Протокол</w:t>
      </w:r>
      <w:r w:rsidR="00753478" w:rsidRPr="007C32F0">
        <w:rPr>
          <w:szCs w:val="24"/>
        </w:rPr>
        <w:t xml:space="preserve"> </w:t>
      </w:r>
      <w:r w:rsidRPr="007C32F0">
        <w:rPr>
          <w:szCs w:val="24"/>
        </w:rPr>
        <w:t>Образец 15</w:t>
      </w:r>
      <w:r w:rsidR="00753478" w:rsidRPr="007C32F0">
        <w:rPr>
          <w:szCs w:val="24"/>
        </w:rPr>
        <w:t>,</w:t>
      </w:r>
      <w:r w:rsidRPr="007C32F0">
        <w:rPr>
          <w:szCs w:val="24"/>
        </w:rPr>
        <w:t xml:space="preserve"> по реда на Наредба </w:t>
      </w:r>
      <w:r w:rsidR="00753478" w:rsidRPr="007C32F0">
        <w:rPr>
          <w:szCs w:val="24"/>
        </w:rPr>
        <w:t xml:space="preserve">№ </w:t>
      </w:r>
      <w:r w:rsidRPr="007C32F0">
        <w:rPr>
          <w:szCs w:val="24"/>
        </w:rPr>
        <w:t>3 за съставяне на актове и протоколи по време на строителството;</w:t>
      </w:r>
    </w:p>
    <w:p w14:paraId="35140C9E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>Съдействие на Възложителя по време на ДПК за подписване на Протокол</w:t>
      </w:r>
      <w:r w:rsidR="00753478" w:rsidRPr="007C32F0">
        <w:rPr>
          <w:szCs w:val="24"/>
        </w:rPr>
        <w:t xml:space="preserve"> </w:t>
      </w:r>
      <w:r w:rsidRPr="007C32F0">
        <w:rPr>
          <w:szCs w:val="24"/>
        </w:rPr>
        <w:t>Образец 1</w:t>
      </w:r>
      <w:r w:rsidR="00753478" w:rsidRPr="007C32F0">
        <w:rPr>
          <w:szCs w:val="24"/>
        </w:rPr>
        <w:t>6</w:t>
      </w:r>
      <w:r w:rsidRPr="007C32F0">
        <w:rPr>
          <w:szCs w:val="24"/>
        </w:rPr>
        <w:t xml:space="preserve"> и получаване разрешени</w:t>
      </w:r>
      <w:r w:rsidR="00753478" w:rsidRPr="007C32F0">
        <w:rPr>
          <w:szCs w:val="24"/>
        </w:rPr>
        <w:t>е</w:t>
      </w:r>
      <w:r w:rsidRPr="007C32F0">
        <w:rPr>
          <w:szCs w:val="24"/>
        </w:rPr>
        <w:t xml:space="preserve"> за ползване.</w:t>
      </w:r>
    </w:p>
    <w:p w14:paraId="5D34D9DF" w14:textId="77777777" w:rsidR="00640AF3" w:rsidRPr="007C32F0" w:rsidRDefault="00640AF3" w:rsidP="00640AF3">
      <w:pPr>
        <w:pStyle w:val="Heading1"/>
        <w:keepLines/>
        <w:numPr>
          <w:ilvl w:val="0"/>
          <w:numId w:val="1"/>
        </w:numPr>
        <w:tabs>
          <w:tab w:val="left" w:pos="284"/>
        </w:tabs>
        <w:spacing w:before="48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_Toc454193010"/>
      <w:bookmarkStart w:id="3" w:name="_Toc337126917"/>
      <w:r w:rsidRPr="007C32F0">
        <w:rPr>
          <w:rFonts w:ascii="Times New Roman" w:hAnsi="Times New Roman"/>
          <w:sz w:val="24"/>
          <w:szCs w:val="24"/>
        </w:rPr>
        <w:t>Цели и задачи на обекта:</w:t>
      </w:r>
      <w:bookmarkEnd w:id="2"/>
    </w:p>
    <w:p w14:paraId="4F971CFF" w14:textId="77777777" w:rsidR="00640AF3" w:rsidRPr="007C32F0" w:rsidRDefault="00640AF3" w:rsidP="00086822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се </w:t>
      </w:r>
      <w:r w:rsidR="00753478" w:rsidRPr="007C32F0">
        <w:rPr>
          <w:szCs w:val="24"/>
        </w:rPr>
        <w:t>изгради/</w:t>
      </w:r>
      <w:r w:rsidRPr="007C32F0">
        <w:rPr>
          <w:szCs w:val="24"/>
        </w:rPr>
        <w:t xml:space="preserve">подмени част от съществуващата водопроводна мрежа; </w:t>
      </w:r>
    </w:p>
    <w:p w14:paraId="73404C6F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</w:t>
      </w:r>
      <w:r w:rsidR="00753478" w:rsidRPr="007C32F0">
        <w:rPr>
          <w:szCs w:val="24"/>
        </w:rPr>
        <w:t xml:space="preserve">се </w:t>
      </w:r>
      <w:r w:rsidRPr="007C32F0">
        <w:rPr>
          <w:szCs w:val="24"/>
        </w:rPr>
        <w:t>подобри надеждността на водоснабдяването и качеството на питейната вода;</w:t>
      </w:r>
    </w:p>
    <w:p w14:paraId="04C12A73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</w:t>
      </w:r>
      <w:r w:rsidR="00753478" w:rsidRPr="007C32F0">
        <w:rPr>
          <w:szCs w:val="24"/>
        </w:rPr>
        <w:t xml:space="preserve">се </w:t>
      </w:r>
      <w:r w:rsidRPr="007C32F0">
        <w:rPr>
          <w:szCs w:val="24"/>
        </w:rPr>
        <w:t>осигури непрекъснатост на водоснабдяването за абонатите (чрез намаляване на техническите водни загуби и ремонтните работи в следствие от аварии във водопроводната мрежа);</w:t>
      </w:r>
    </w:p>
    <w:p w14:paraId="01863574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</w:t>
      </w:r>
      <w:r w:rsidR="00753478" w:rsidRPr="007C32F0">
        <w:rPr>
          <w:szCs w:val="24"/>
        </w:rPr>
        <w:t xml:space="preserve">се </w:t>
      </w:r>
      <w:r w:rsidRPr="007C32F0">
        <w:rPr>
          <w:szCs w:val="24"/>
        </w:rPr>
        <w:t>намали броя на авариите във водопроводната мрежа и съответно техническите водни загуби след приключване на проекта;</w:t>
      </w:r>
    </w:p>
    <w:p w14:paraId="14BD550C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</w:t>
      </w:r>
      <w:r w:rsidR="00753478" w:rsidRPr="007C32F0">
        <w:rPr>
          <w:szCs w:val="24"/>
        </w:rPr>
        <w:t xml:space="preserve">се </w:t>
      </w:r>
      <w:r w:rsidRPr="007C32F0">
        <w:rPr>
          <w:szCs w:val="24"/>
        </w:rPr>
        <w:t>намал</w:t>
      </w:r>
      <w:r w:rsidR="00753478" w:rsidRPr="007C32F0">
        <w:rPr>
          <w:szCs w:val="24"/>
        </w:rPr>
        <w:t>ят</w:t>
      </w:r>
      <w:r w:rsidRPr="007C32F0">
        <w:rPr>
          <w:szCs w:val="24"/>
        </w:rPr>
        <w:t xml:space="preserve"> разходите за експлоатация и поддръжка на водопроводната система;</w:t>
      </w:r>
    </w:p>
    <w:p w14:paraId="3E745FCA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 xml:space="preserve">Да </w:t>
      </w:r>
      <w:r w:rsidR="00753478" w:rsidRPr="007C32F0">
        <w:rPr>
          <w:szCs w:val="24"/>
        </w:rPr>
        <w:t>се изгради/подмени част от съществуващата канализационна мрежа</w:t>
      </w:r>
      <w:r w:rsidRPr="007C32F0">
        <w:rPr>
          <w:szCs w:val="24"/>
        </w:rPr>
        <w:t>;</w:t>
      </w:r>
    </w:p>
    <w:p w14:paraId="118B90BB" w14:textId="77777777" w:rsidR="00640AF3" w:rsidRPr="007C32F0" w:rsidRDefault="00640AF3" w:rsidP="00640AF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Cs w:val="24"/>
        </w:rPr>
      </w:pPr>
      <w:r w:rsidRPr="007C32F0">
        <w:rPr>
          <w:szCs w:val="24"/>
        </w:rPr>
        <w:t>Да се пресвържат нови потребители към канализационната мрежа;</w:t>
      </w:r>
    </w:p>
    <w:p w14:paraId="323C048A" w14:textId="77777777" w:rsidR="00640AF3" w:rsidRPr="007C32F0" w:rsidRDefault="00640AF3" w:rsidP="00086822">
      <w:pPr>
        <w:pStyle w:val="Heading1"/>
        <w:keepLines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_Toc454193011"/>
      <w:bookmarkEnd w:id="3"/>
      <w:r w:rsidRPr="007C32F0">
        <w:rPr>
          <w:rFonts w:ascii="Times New Roman" w:hAnsi="Times New Roman"/>
          <w:sz w:val="24"/>
          <w:szCs w:val="24"/>
        </w:rPr>
        <w:t>Описание на дейностите по обекта:</w:t>
      </w:r>
      <w:bookmarkEnd w:id="4"/>
    </w:p>
    <w:p w14:paraId="4386FB39" w14:textId="77777777" w:rsidR="00640AF3" w:rsidRPr="007C32F0" w:rsidRDefault="00753478" w:rsidP="00640AF3">
      <w:pPr>
        <w:pStyle w:val="Heading2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5" w:name="_Toc454193012"/>
      <w:r w:rsidRPr="007C32F0">
        <w:rPr>
          <w:rFonts w:ascii="Times New Roman" w:hAnsi="Times New Roman" w:cs="Times New Roman"/>
          <w:sz w:val="24"/>
          <w:szCs w:val="24"/>
          <w:lang w:val="bg-BG"/>
        </w:rPr>
        <w:t>Изграждане/реконструкция на</w:t>
      </w:r>
      <w:r w:rsidR="00640AF3" w:rsidRPr="007C32F0">
        <w:rPr>
          <w:rFonts w:ascii="Times New Roman" w:hAnsi="Times New Roman" w:cs="Times New Roman"/>
          <w:sz w:val="24"/>
          <w:szCs w:val="24"/>
          <w:lang w:val="bg-BG"/>
        </w:rPr>
        <w:t xml:space="preserve"> водопроводна мрежа:</w:t>
      </w:r>
      <w:bookmarkEnd w:id="5"/>
    </w:p>
    <w:p w14:paraId="2C60926C" w14:textId="77777777" w:rsidR="004A3C23" w:rsidRPr="007C32F0" w:rsidRDefault="004A3C23" w:rsidP="004A3C23">
      <w:pPr>
        <w:tabs>
          <w:tab w:val="left" w:pos="567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 xml:space="preserve">Водопроводът </w:t>
      </w:r>
      <w:r w:rsidR="00ED2563" w:rsidRPr="007C32F0">
        <w:rPr>
          <w:rFonts w:ascii="Times New Roman" w:hAnsi="Times New Roman" w:cs="Times New Roman"/>
          <w:sz w:val="24"/>
          <w:szCs w:val="24"/>
        </w:rPr>
        <w:t xml:space="preserve">да </w:t>
      </w:r>
      <w:r w:rsidRPr="007C32F0">
        <w:rPr>
          <w:rFonts w:ascii="Times New Roman" w:hAnsi="Times New Roman" w:cs="Times New Roman"/>
          <w:sz w:val="24"/>
          <w:szCs w:val="24"/>
        </w:rPr>
        <w:t xml:space="preserve">се </w:t>
      </w:r>
      <w:r w:rsidR="00ED2563" w:rsidRPr="007C32F0">
        <w:rPr>
          <w:rFonts w:ascii="Times New Roman" w:hAnsi="Times New Roman" w:cs="Times New Roman"/>
          <w:sz w:val="24"/>
          <w:szCs w:val="24"/>
        </w:rPr>
        <w:t xml:space="preserve">изпълни 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от </w:t>
      </w:r>
      <w:r w:rsidRPr="007C32F0">
        <w:rPr>
          <w:rFonts w:ascii="Times New Roman" w:hAnsi="Times New Roman" w:cs="Times New Roman"/>
          <w:sz w:val="24"/>
          <w:szCs w:val="24"/>
        </w:rPr>
        <w:t>полиетиленови тръби висока плътност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>-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 xml:space="preserve"> PE DN 90 </w:t>
      </w:r>
      <w:r w:rsidRPr="007C32F0">
        <w:rPr>
          <w:rFonts w:ascii="Times New Roman" w:hAnsi="Times New Roman" w:cs="Times New Roman"/>
          <w:sz w:val="24"/>
          <w:szCs w:val="24"/>
        </w:rPr>
        <w:t xml:space="preserve">и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DN 315, PN 10</w:t>
      </w:r>
      <w:r w:rsidRPr="007C32F0">
        <w:rPr>
          <w:rFonts w:ascii="Times New Roman" w:hAnsi="Times New Roman" w:cs="Times New Roman"/>
          <w:sz w:val="24"/>
          <w:szCs w:val="24"/>
        </w:rPr>
        <w:t xml:space="preserve"> с обща дължина 1556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м, 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съгласно одобрен проект, </w:t>
      </w:r>
      <w:r w:rsidRPr="007C32F0">
        <w:rPr>
          <w:rFonts w:ascii="Times New Roman" w:hAnsi="Times New Roman" w:cs="Times New Roman"/>
          <w:sz w:val="24"/>
          <w:szCs w:val="24"/>
        </w:rPr>
        <w:t>от които:</w:t>
      </w:r>
    </w:p>
    <w:p w14:paraId="0FDE1579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Главен клон I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ab/>
        <w:t>-375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315 PN 10</w:t>
      </w:r>
    </w:p>
    <w:p w14:paraId="55EA8D6F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1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-262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2240CA4C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2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-116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2A9D7976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3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-245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76497204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4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-95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7AA7EE99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lastRenderedPageBreak/>
        <w:t>Клон 5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-263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17795A32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6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-155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2585F852" w14:textId="77777777" w:rsidR="004A3C23" w:rsidRPr="007C32F0" w:rsidRDefault="004A3C23" w:rsidP="004A3C23">
      <w:pPr>
        <w:tabs>
          <w:tab w:val="left" w:pos="567"/>
        </w:tabs>
        <w:spacing w:before="120"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7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-24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1F94388F" w14:textId="77777777" w:rsidR="004A3C23" w:rsidRPr="007C32F0" w:rsidRDefault="004A3C23" w:rsidP="008042DB">
      <w:pPr>
        <w:tabs>
          <w:tab w:val="left" w:pos="567"/>
        </w:tabs>
        <w:spacing w:before="120" w:line="240" w:lineRule="auto"/>
        <w:ind w:left="7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2F0">
        <w:rPr>
          <w:rFonts w:ascii="Times New Roman" w:hAnsi="Times New Roman" w:cs="Times New Roman"/>
          <w:sz w:val="24"/>
          <w:szCs w:val="24"/>
        </w:rPr>
        <w:t>Клон 8</w:t>
      </w:r>
      <w:r w:rsidRPr="007C32F0">
        <w:rPr>
          <w:rFonts w:ascii="Times New Roman" w:hAnsi="Times New Roman" w:cs="Times New Roman"/>
          <w:sz w:val="24"/>
          <w:szCs w:val="24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ab/>
        <w:t>-21</w:t>
      </w:r>
      <w:r w:rsidR="00753478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Pr="007C32F0">
        <w:rPr>
          <w:rFonts w:ascii="Times New Roman" w:hAnsi="Times New Roman" w:cs="Times New Roman"/>
          <w:sz w:val="24"/>
          <w:szCs w:val="24"/>
        </w:rPr>
        <w:t xml:space="preserve">м </w:t>
      </w:r>
      <w:r w:rsidRPr="007C32F0">
        <w:rPr>
          <w:rFonts w:ascii="Times New Roman" w:hAnsi="Times New Roman" w:cs="Times New Roman"/>
          <w:sz w:val="24"/>
          <w:szCs w:val="24"/>
          <w:lang w:val="en-US"/>
        </w:rPr>
        <w:t>PE DN 90 PN 10</w:t>
      </w:r>
    </w:p>
    <w:p w14:paraId="144A8677" w14:textId="77777777" w:rsidR="00640AF3" w:rsidRPr="007C32F0" w:rsidRDefault="004A3C23" w:rsidP="00640A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0AF3" w:rsidRPr="007C32F0">
        <w:rPr>
          <w:rFonts w:ascii="Times New Roman" w:hAnsi="Times New Roman" w:cs="Times New Roman"/>
          <w:b/>
          <w:color w:val="000000"/>
          <w:sz w:val="24"/>
          <w:szCs w:val="24"/>
        </w:rPr>
        <w:t>Изграждане на спирателни крано</w:t>
      </w:r>
      <w:r w:rsidR="00753478" w:rsidRPr="007C32F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40AF3" w:rsidRPr="007C32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/СК/ и пожарни хидранти /ПХ/ - </w:t>
      </w:r>
      <w:r w:rsidR="00640AF3" w:rsidRPr="007C32F0">
        <w:rPr>
          <w:rFonts w:ascii="Times New Roman" w:hAnsi="Times New Roman" w:cs="Times New Roman"/>
          <w:color w:val="000000"/>
          <w:sz w:val="24"/>
          <w:szCs w:val="24"/>
        </w:rPr>
        <w:t>съгласно приложения работен проект.</w:t>
      </w:r>
    </w:p>
    <w:p w14:paraId="0A1545C5" w14:textId="77777777" w:rsidR="00640AF3" w:rsidRPr="007C32F0" w:rsidRDefault="00640AF3" w:rsidP="00640AF3">
      <w:pPr>
        <w:tabs>
          <w:tab w:val="left" w:pos="567"/>
        </w:tabs>
        <w:ind w:left="78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22556E" w14:textId="77777777" w:rsidR="00640AF3" w:rsidRPr="007C32F0" w:rsidRDefault="00640AF3" w:rsidP="00640A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color w:val="000000"/>
          <w:sz w:val="24"/>
          <w:szCs w:val="24"/>
        </w:rPr>
        <w:t>Изграждане на сградни водопроводни отклонения /</w:t>
      </w:r>
      <w:r w:rsidRPr="007C32F0">
        <w:rPr>
          <w:rFonts w:ascii="Times New Roman" w:hAnsi="Times New Roman" w:cs="Times New Roman"/>
          <w:b/>
          <w:sz w:val="24"/>
          <w:szCs w:val="24"/>
        </w:rPr>
        <w:t xml:space="preserve">СВО/ – </w:t>
      </w:r>
      <w:r w:rsidR="00A03D6C" w:rsidRPr="007C32F0">
        <w:rPr>
          <w:rFonts w:ascii="Times New Roman" w:hAnsi="Times New Roman" w:cs="Times New Roman"/>
          <w:b/>
          <w:sz w:val="24"/>
          <w:szCs w:val="24"/>
        </w:rPr>
        <w:t>94</w:t>
      </w:r>
      <w:r w:rsidRPr="007C32F0">
        <w:rPr>
          <w:rFonts w:ascii="Times New Roman" w:hAnsi="Times New Roman" w:cs="Times New Roman"/>
          <w:b/>
          <w:sz w:val="24"/>
          <w:szCs w:val="24"/>
        </w:rPr>
        <w:t xml:space="preserve"> бр</w:t>
      </w:r>
      <w:r w:rsidRPr="007C32F0">
        <w:rPr>
          <w:rFonts w:ascii="Times New Roman" w:hAnsi="Times New Roman" w:cs="Times New Roman"/>
          <w:sz w:val="24"/>
          <w:szCs w:val="24"/>
        </w:rPr>
        <w:t>.</w:t>
      </w:r>
    </w:p>
    <w:p w14:paraId="59344602" w14:textId="77777777" w:rsidR="00640AF3" w:rsidRPr="007C32F0" w:rsidRDefault="00640AF3" w:rsidP="00640AF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6EAE0B" w14:textId="77777777" w:rsidR="00640AF3" w:rsidRPr="007C32F0" w:rsidRDefault="00640AF3" w:rsidP="00640A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2F0">
        <w:rPr>
          <w:rFonts w:ascii="Times New Roman" w:hAnsi="Times New Roman" w:cs="Times New Roman"/>
          <w:b/>
          <w:color w:val="000000"/>
          <w:sz w:val="24"/>
          <w:szCs w:val="24"/>
        </w:rPr>
        <w:t>Изграждане</w:t>
      </w:r>
      <w:r w:rsidR="00753478" w:rsidRPr="007C32F0">
        <w:rPr>
          <w:rFonts w:ascii="Times New Roman" w:hAnsi="Times New Roman" w:cs="Times New Roman"/>
          <w:b/>
          <w:color w:val="000000"/>
          <w:sz w:val="24"/>
          <w:szCs w:val="24"/>
        </w:rPr>
        <w:t>/реконструкция на канализационна мрежа</w:t>
      </w:r>
      <w:r w:rsidRPr="007C32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217A461" w14:textId="77777777" w:rsidR="005B1E05" w:rsidRPr="007C32F0" w:rsidRDefault="003571E8" w:rsidP="005B1E05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ab/>
      </w:r>
      <w:r w:rsidR="005B1E05" w:rsidRPr="007C32F0">
        <w:rPr>
          <w:rFonts w:ascii="Times New Roman" w:hAnsi="Times New Roman" w:cs="Times New Roman"/>
          <w:sz w:val="24"/>
          <w:szCs w:val="24"/>
        </w:rPr>
        <w:tab/>
      </w:r>
      <w:r w:rsidR="00753478" w:rsidRPr="007C32F0">
        <w:rPr>
          <w:rFonts w:ascii="Times New Roman" w:hAnsi="Times New Roman" w:cs="Times New Roman"/>
          <w:sz w:val="24"/>
          <w:szCs w:val="24"/>
        </w:rPr>
        <w:t>К</w:t>
      </w:r>
      <w:r w:rsidR="005B1E05" w:rsidRPr="007C32F0">
        <w:rPr>
          <w:rFonts w:ascii="Times New Roman" w:hAnsi="Times New Roman" w:cs="Times New Roman"/>
          <w:sz w:val="24"/>
          <w:szCs w:val="24"/>
        </w:rPr>
        <w:t xml:space="preserve">анализационната мрежа да се изпълни от </w:t>
      </w:r>
      <w:r w:rsidR="00ED2563" w:rsidRPr="007C32F0">
        <w:rPr>
          <w:rFonts w:ascii="Times New Roman" w:hAnsi="Times New Roman" w:cs="Times New Roman"/>
          <w:sz w:val="24"/>
          <w:szCs w:val="24"/>
          <w:lang w:val="en-US"/>
        </w:rPr>
        <w:t xml:space="preserve">PP </w:t>
      </w:r>
      <w:r w:rsidR="005B1E05" w:rsidRPr="007C32F0">
        <w:rPr>
          <w:rFonts w:ascii="Times New Roman" w:hAnsi="Times New Roman" w:cs="Times New Roman"/>
          <w:sz w:val="24"/>
          <w:szCs w:val="24"/>
        </w:rPr>
        <w:t xml:space="preserve">тръби </w:t>
      </w:r>
      <w:r w:rsidR="00ED2563" w:rsidRPr="007C32F0">
        <w:rPr>
          <w:rFonts w:ascii="Times New Roman" w:hAnsi="Times New Roman" w:cs="Times New Roman"/>
          <w:sz w:val="24"/>
          <w:szCs w:val="24"/>
          <w:lang w:val="en-US"/>
        </w:rPr>
        <w:t>SN8</w:t>
      </w:r>
      <w:r w:rsidR="00ED2563" w:rsidRPr="007C32F0">
        <w:rPr>
          <w:rFonts w:ascii="Times New Roman" w:hAnsi="Times New Roman" w:cs="Times New Roman"/>
          <w:sz w:val="24"/>
          <w:szCs w:val="24"/>
        </w:rPr>
        <w:t>, отговарящи на стандарт</w:t>
      </w:r>
      <w:r w:rsidR="005B1E05" w:rsidRPr="007C32F0">
        <w:rPr>
          <w:rFonts w:ascii="Times New Roman" w:hAnsi="Times New Roman" w:cs="Times New Roman"/>
          <w:sz w:val="24"/>
          <w:szCs w:val="24"/>
        </w:rPr>
        <w:t xml:space="preserve"> БДС </w:t>
      </w:r>
      <w:r w:rsidR="005B1E05" w:rsidRPr="007C32F0">
        <w:rPr>
          <w:rFonts w:ascii="Times New Roman" w:hAnsi="Times New Roman" w:cs="Times New Roman"/>
          <w:sz w:val="24"/>
          <w:szCs w:val="24"/>
          <w:lang w:val="en-US"/>
        </w:rPr>
        <w:t xml:space="preserve">EN 13476-3 </w:t>
      </w:r>
      <w:r w:rsidR="005B1E05" w:rsidRPr="007C32F0">
        <w:rPr>
          <w:rFonts w:ascii="Times New Roman" w:hAnsi="Times New Roman" w:cs="Times New Roman"/>
          <w:sz w:val="24"/>
          <w:szCs w:val="24"/>
        </w:rPr>
        <w:t>с обща дължина 1754</w:t>
      </w:r>
      <w:r w:rsidR="00ED2563" w:rsidRPr="007C32F0">
        <w:rPr>
          <w:rFonts w:ascii="Times New Roman" w:hAnsi="Times New Roman" w:cs="Times New Roman"/>
          <w:sz w:val="24"/>
          <w:szCs w:val="24"/>
        </w:rPr>
        <w:t xml:space="preserve"> </w:t>
      </w:r>
      <w:r w:rsidR="005B1E05" w:rsidRPr="007C32F0">
        <w:rPr>
          <w:rFonts w:ascii="Times New Roman" w:hAnsi="Times New Roman" w:cs="Times New Roman"/>
          <w:sz w:val="24"/>
          <w:szCs w:val="24"/>
        </w:rPr>
        <w:t>м</w:t>
      </w:r>
      <w:r w:rsidR="00ED2563" w:rsidRPr="007C32F0">
        <w:rPr>
          <w:rFonts w:ascii="Times New Roman" w:hAnsi="Times New Roman" w:cs="Times New Roman"/>
          <w:sz w:val="24"/>
          <w:szCs w:val="24"/>
        </w:rPr>
        <w:t>, съгласно одобрен проект</w:t>
      </w:r>
      <w:r w:rsidR="005B1E05" w:rsidRPr="007C32F0">
        <w:rPr>
          <w:rFonts w:ascii="Times New Roman" w:hAnsi="Times New Roman" w:cs="Times New Roman"/>
          <w:sz w:val="24"/>
          <w:szCs w:val="24"/>
        </w:rPr>
        <w:t>.</w:t>
      </w:r>
    </w:p>
    <w:p w14:paraId="2009E28D" w14:textId="77777777" w:rsidR="005B1E05" w:rsidRPr="007C32F0" w:rsidRDefault="005B1E05" w:rsidP="005B1E05">
      <w:pPr>
        <w:pStyle w:val="ListParagraph"/>
        <w:tabs>
          <w:tab w:val="left" w:pos="426"/>
        </w:tabs>
        <w:rPr>
          <w:szCs w:val="24"/>
          <w:u w:val="single"/>
        </w:rPr>
      </w:pPr>
      <w:r w:rsidRPr="007C32F0">
        <w:rPr>
          <w:szCs w:val="24"/>
          <w:u w:val="single"/>
        </w:rPr>
        <w:t>Разпределението  по клонове и диаметри е:</w:t>
      </w: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62"/>
        <w:gridCol w:w="1503"/>
        <w:gridCol w:w="1503"/>
        <w:gridCol w:w="1503"/>
      </w:tblGrid>
      <w:tr w:rsidR="005B1E05" w:rsidRPr="007C32F0" w14:paraId="76BABEE0" w14:textId="77777777" w:rsidTr="008B11DD">
        <w:trPr>
          <w:trHeight w:val="503"/>
        </w:trPr>
        <w:tc>
          <w:tcPr>
            <w:tcW w:w="1809" w:type="dxa"/>
            <w:vMerge w:val="restart"/>
            <w:vAlign w:val="center"/>
          </w:tcPr>
          <w:p w14:paraId="3644EF60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</w:t>
            </w:r>
          </w:p>
        </w:tc>
        <w:tc>
          <w:tcPr>
            <w:tcW w:w="1462" w:type="dxa"/>
            <w:vAlign w:val="center"/>
          </w:tcPr>
          <w:p w14:paraId="0D9FF98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-4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Общо</w:t>
            </w:r>
          </w:p>
        </w:tc>
        <w:tc>
          <w:tcPr>
            <w:tcW w:w="1503" w:type="dxa"/>
            <w:vAlign w:val="center"/>
          </w:tcPr>
          <w:p w14:paraId="4D34D76F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-1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Ф315</w:t>
            </w:r>
          </w:p>
        </w:tc>
        <w:tc>
          <w:tcPr>
            <w:tcW w:w="1503" w:type="dxa"/>
            <w:vAlign w:val="center"/>
          </w:tcPr>
          <w:p w14:paraId="7F398EEB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-96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Ф400</w:t>
            </w:r>
          </w:p>
        </w:tc>
        <w:tc>
          <w:tcPr>
            <w:tcW w:w="1503" w:type="dxa"/>
            <w:vAlign w:val="center"/>
          </w:tcPr>
          <w:p w14:paraId="5E2CC627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-181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Ф500</w:t>
            </w:r>
          </w:p>
        </w:tc>
      </w:tr>
      <w:tr w:rsidR="005B1E05" w:rsidRPr="007C32F0" w14:paraId="450B8705" w14:textId="77777777" w:rsidTr="008B11DD">
        <w:trPr>
          <w:trHeight w:val="270"/>
        </w:trPr>
        <w:tc>
          <w:tcPr>
            <w:tcW w:w="1809" w:type="dxa"/>
            <w:vMerge/>
          </w:tcPr>
          <w:p w14:paraId="7539891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462" w:type="dxa"/>
          </w:tcPr>
          <w:p w14:paraId="3B4E138C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м</w:t>
            </w:r>
          </w:p>
        </w:tc>
        <w:tc>
          <w:tcPr>
            <w:tcW w:w="1503" w:type="dxa"/>
          </w:tcPr>
          <w:p w14:paraId="3D50BEFF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м</w:t>
            </w:r>
          </w:p>
        </w:tc>
        <w:tc>
          <w:tcPr>
            <w:tcW w:w="1503" w:type="dxa"/>
          </w:tcPr>
          <w:p w14:paraId="5DBC0E0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м</w:t>
            </w:r>
          </w:p>
        </w:tc>
        <w:tc>
          <w:tcPr>
            <w:tcW w:w="1503" w:type="dxa"/>
          </w:tcPr>
          <w:p w14:paraId="1272469C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м</w:t>
            </w:r>
          </w:p>
        </w:tc>
      </w:tr>
      <w:tr w:rsidR="005B1E05" w:rsidRPr="007C32F0" w14:paraId="69B467FE" w14:textId="77777777" w:rsidTr="008B11DD">
        <w:trPr>
          <w:trHeight w:val="516"/>
        </w:trPr>
        <w:tc>
          <w:tcPr>
            <w:tcW w:w="1809" w:type="dxa"/>
            <w:vAlign w:val="center"/>
          </w:tcPr>
          <w:p w14:paraId="6647951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Главен клон 1</w:t>
            </w:r>
          </w:p>
        </w:tc>
        <w:tc>
          <w:tcPr>
            <w:tcW w:w="1462" w:type="dxa"/>
            <w:vAlign w:val="center"/>
          </w:tcPr>
          <w:p w14:paraId="632EAD9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430</w:t>
            </w:r>
          </w:p>
        </w:tc>
        <w:tc>
          <w:tcPr>
            <w:tcW w:w="1503" w:type="dxa"/>
            <w:vAlign w:val="center"/>
          </w:tcPr>
          <w:p w14:paraId="10C6D386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171</w:t>
            </w:r>
          </w:p>
        </w:tc>
        <w:tc>
          <w:tcPr>
            <w:tcW w:w="1503" w:type="dxa"/>
            <w:vAlign w:val="center"/>
          </w:tcPr>
          <w:p w14:paraId="36AD88B5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259</w:t>
            </w:r>
          </w:p>
        </w:tc>
        <w:tc>
          <w:tcPr>
            <w:tcW w:w="1503" w:type="dxa"/>
            <w:vAlign w:val="center"/>
          </w:tcPr>
          <w:p w14:paraId="3A62571B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17934576" w14:textId="77777777" w:rsidTr="008B11DD">
        <w:trPr>
          <w:trHeight w:val="422"/>
        </w:trPr>
        <w:tc>
          <w:tcPr>
            <w:tcW w:w="1809" w:type="dxa"/>
            <w:vAlign w:val="center"/>
          </w:tcPr>
          <w:p w14:paraId="49067C86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Клон2</w:t>
            </w:r>
          </w:p>
        </w:tc>
        <w:tc>
          <w:tcPr>
            <w:tcW w:w="1462" w:type="dxa"/>
            <w:vAlign w:val="center"/>
          </w:tcPr>
          <w:p w14:paraId="18E4072F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127</w:t>
            </w:r>
          </w:p>
        </w:tc>
        <w:tc>
          <w:tcPr>
            <w:tcW w:w="1503" w:type="dxa"/>
            <w:vAlign w:val="center"/>
          </w:tcPr>
          <w:p w14:paraId="7EF45C2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127</w:t>
            </w:r>
          </w:p>
        </w:tc>
        <w:tc>
          <w:tcPr>
            <w:tcW w:w="1503" w:type="dxa"/>
            <w:vAlign w:val="center"/>
          </w:tcPr>
          <w:p w14:paraId="7F7F57D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358FA9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3D06064C" w14:textId="77777777" w:rsidTr="008B11DD">
        <w:trPr>
          <w:trHeight w:val="415"/>
        </w:trPr>
        <w:tc>
          <w:tcPr>
            <w:tcW w:w="1809" w:type="dxa"/>
            <w:vAlign w:val="center"/>
          </w:tcPr>
          <w:p w14:paraId="07DC6CF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3</w:t>
            </w:r>
          </w:p>
        </w:tc>
        <w:tc>
          <w:tcPr>
            <w:tcW w:w="1462" w:type="dxa"/>
            <w:vAlign w:val="center"/>
          </w:tcPr>
          <w:p w14:paraId="2E4D73A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43</w:t>
            </w:r>
          </w:p>
        </w:tc>
        <w:tc>
          <w:tcPr>
            <w:tcW w:w="1503" w:type="dxa"/>
            <w:vAlign w:val="center"/>
          </w:tcPr>
          <w:p w14:paraId="6C59EC4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43</w:t>
            </w:r>
          </w:p>
        </w:tc>
        <w:tc>
          <w:tcPr>
            <w:tcW w:w="1503" w:type="dxa"/>
            <w:vAlign w:val="center"/>
          </w:tcPr>
          <w:p w14:paraId="50C99B15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14F5F40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705FF406" w14:textId="77777777" w:rsidTr="008B11DD">
        <w:trPr>
          <w:trHeight w:val="421"/>
        </w:trPr>
        <w:tc>
          <w:tcPr>
            <w:tcW w:w="1809" w:type="dxa"/>
            <w:vAlign w:val="center"/>
          </w:tcPr>
          <w:p w14:paraId="2B2C689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4</w:t>
            </w:r>
          </w:p>
        </w:tc>
        <w:tc>
          <w:tcPr>
            <w:tcW w:w="1462" w:type="dxa"/>
            <w:vAlign w:val="center"/>
          </w:tcPr>
          <w:p w14:paraId="61B5B15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30</w:t>
            </w:r>
          </w:p>
        </w:tc>
        <w:tc>
          <w:tcPr>
            <w:tcW w:w="1503" w:type="dxa"/>
            <w:vAlign w:val="center"/>
          </w:tcPr>
          <w:p w14:paraId="12621953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30</w:t>
            </w:r>
          </w:p>
        </w:tc>
        <w:tc>
          <w:tcPr>
            <w:tcW w:w="1503" w:type="dxa"/>
            <w:vAlign w:val="center"/>
          </w:tcPr>
          <w:p w14:paraId="58724524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2D35490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07DBF94A" w14:textId="77777777" w:rsidTr="008B11DD">
        <w:trPr>
          <w:trHeight w:val="413"/>
        </w:trPr>
        <w:tc>
          <w:tcPr>
            <w:tcW w:w="1809" w:type="dxa"/>
            <w:vAlign w:val="center"/>
          </w:tcPr>
          <w:p w14:paraId="2C21709C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5</w:t>
            </w:r>
          </w:p>
        </w:tc>
        <w:tc>
          <w:tcPr>
            <w:tcW w:w="1462" w:type="dxa"/>
            <w:vAlign w:val="center"/>
          </w:tcPr>
          <w:p w14:paraId="19E9CFD7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369</w:t>
            </w:r>
          </w:p>
        </w:tc>
        <w:tc>
          <w:tcPr>
            <w:tcW w:w="1503" w:type="dxa"/>
            <w:vAlign w:val="center"/>
          </w:tcPr>
          <w:p w14:paraId="39D7234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111</w:t>
            </w:r>
          </w:p>
        </w:tc>
        <w:tc>
          <w:tcPr>
            <w:tcW w:w="1503" w:type="dxa"/>
            <w:vAlign w:val="center"/>
          </w:tcPr>
          <w:p w14:paraId="0D7223A8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258</w:t>
            </w:r>
          </w:p>
        </w:tc>
        <w:tc>
          <w:tcPr>
            <w:tcW w:w="1503" w:type="dxa"/>
            <w:vAlign w:val="center"/>
          </w:tcPr>
          <w:p w14:paraId="6ECE9FF9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2EF5504A" w14:textId="77777777" w:rsidTr="008B11DD">
        <w:trPr>
          <w:trHeight w:val="418"/>
        </w:trPr>
        <w:tc>
          <w:tcPr>
            <w:tcW w:w="1809" w:type="dxa"/>
            <w:vAlign w:val="center"/>
          </w:tcPr>
          <w:p w14:paraId="1CF739AB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6</w:t>
            </w:r>
          </w:p>
        </w:tc>
        <w:tc>
          <w:tcPr>
            <w:tcW w:w="1462" w:type="dxa"/>
            <w:vAlign w:val="center"/>
          </w:tcPr>
          <w:p w14:paraId="536C07EC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82</w:t>
            </w:r>
          </w:p>
        </w:tc>
        <w:tc>
          <w:tcPr>
            <w:tcW w:w="1503" w:type="dxa"/>
            <w:vAlign w:val="center"/>
          </w:tcPr>
          <w:p w14:paraId="7278C86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82</w:t>
            </w:r>
          </w:p>
        </w:tc>
        <w:tc>
          <w:tcPr>
            <w:tcW w:w="1503" w:type="dxa"/>
            <w:vAlign w:val="center"/>
          </w:tcPr>
          <w:p w14:paraId="1EAD88F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26D1CC5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2C0831D2" w14:textId="77777777" w:rsidTr="008B11DD">
        <w:trPr>
          <w:trHeight w:val="411"/>
        </w:trPr>
        <w:tc>
          <w:tcPr>
            <w:tcW w:w="1809" w:type="dxa"/>
            <w:vAlign w:val="center"/>
          </w:tcPr>
          <w:p w14:paraId="1415EC7F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7</w:t>
            </w:r>
          </w:p>
        </w:tc>
        <w:tc>
          <w:tcPr>
            <w:tcW w:w="1462" w:type="dxa"/>
            <w:vAlign w:val="center"/>
          </w:tcPr>
          <w:p w14:paraId="281E84C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187</w:t>
            </w:r>
          </w:p>
        </w:tc>
        <w:tc>
          <w:tcPr>
            <w:tcW w:w="1503" w:type="dxa"/>
            <w:vAlign w:val="center"/>
          </w:tcPr>
          <w:p w14:paraId="35D97CF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40</w:t>
            </w:r>
          </w:p>
        </w:tc>
        <w:tc>
          <w:tcPr>
            <w:tcW w:w="1503" w:type="dxa"/>
            <w:vAlign w:val="center"/>
          </w:tcPr>
          <w:p w14:paraId="739B2CE6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147</w:t>
            </w:r>
          </w:p>
        </w:tc>
        <w:tc>
          <w:tcPr>
            <w:tcW w:w="1503" w:type="dxa"/>
            <w:vAlign w:val="center"/>
          </w:tcPr>
          <w:p w14:paraId="23165D5B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7031924F" w14:textId="77777777" w:rsidTr="008B11DD">
        <w:trPr>
          <w:trHeight w:val="417"/>
        </w:trPr>
        <w:tc>
          <w:tcPr>
            <w:tcW w:w="1809" w:type="dxa"/>
            <w:vAlign w:val="center"/>
          </w:tcPr>
          <w:p w14:paraId="516BFCE3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8</w:t>
            </w:r>
          </w:p>
        </w:tc>
        <w:tc>
          <w:tcPr>
            <w:tcW w:w="1462" w:type="dxa"/>
            <w:vAlign w:val="center"/>
          </w:tcPr>
          <w:p w14:paraId="36D161C3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304</w:t>
            </w:r>
          </w:p>
        </w:tc>
        <w:tc>
          <w:tcPr>
            <w:tcW w:w="1503" w:type="dxa"/>
            <w:vAlign w:val="center"/>
          </w:tcPr>
          <w:p w14:paraId="19A052C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40</w:t>
            </w:r>
          </w:p>
        </w:tc>
        <w:tc>
          <w:tcPr>
            <w:tcW w:w="1503" w:type="dxa"/>
            <w:vAlign w:val="center"/>
          </w:tcPr>
          <w:p w14:paraId="36937295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106</w:t>
            </w:r>
          </w:p>
        </w:tc>
        <w:tc>
          <w:tcPr>
            <w:tcW w:w="1503" w:type="dxa"/>
            <w:vAlign w:val="center"/>
          </w:tcPr>
          <w:p w14:paraId="519F880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158</w:t>
            </w:r>
          </w:p>
        </w:tc>
      </w:tr>
      <w:tr w:rsidR="005B1E05" w:rsidRPr="007C32F0" w14:paraId="0BE24C22" w14:textId="77777777" w:rsidTr="008B11DD">
        <w:trPr>
          <w:trHeight w:val="423"/>
        </w:trPr>
        <w:tc>
          <w:tcPr>
            <w:tcW w:w="1809" w:type="dxa"/>
            <w:vAlign w:val="center"/>
          </w:tcPr>
          <w:p w14:paraId="38C6DBE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 9</w:t>
            </w:r>
          </w:p>
        </w:tc>
        <w:tc>
          <w:tcPr>
            <w:tcW w:w="1462" w:type="dxa"/>
            <w:vAlign w:val="center"/>
          </w:tcPr>
          <w:p w14:paraId="3FEE384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142</w:t>
            </w:r>
          </w:p>
        </w:tc>
        <w:tc>
          <w:tcPr>
            <w:tcW w:w="1503" w:type="dxa"/>
            <w:vAlign w:val="center"/>
          </w:tcPr>
          <w:p w14:paraId="30F0F692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142</w:t>
            </w:r>
          </w:p>
        </w:tc>
        <w:tc>
          <w:tcPr>
            <w:tcW w:w="1503" w:type="dxa"/>
            <w:vAlign w:val="center"/>
          </w:tcPr>
          <w:p w14:paraId="27301A87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B767E90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6DE34462" w14:textId="77777777" w:rsidTr="008B11DD">
        <w:trPr>
          <w:trHeight w:val="415"/>
        </w:trPr>
        <w:tc>
          <w:tcPr>
            <w:tcW w:w="1809" w:type="dxa"/>
            <w:vAlign w:val="center"/>
          </w:tcPr>
          <w:p w14:paraId="038F6489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Клон10</w:t>
            </w:r>
          </w:p>
        </w:tc>
        <w:tc>
          <w:tcPr>
            <w:tcW w:w="1462" w:type="dxa"/>
            <w:vAlign w:val="center"/>
          </w:tcPr>
          <w:p w14:paraId="2F10876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19</w:t>
            </w:r>
          </w:p>
        </w:tc>
        <w:tc>
          <w:tcPr>
            <w:tcW w:w="1503" w:type="dxa"/>
            <w:vAlign w:val="center"/>
          </w:tcPr>
          <w:p w14:paraId="28266324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19</w:t>
            </w:r>
          </w:p>
        </w:tc>
        <w:tc>
          <w:tcPr>
            <w:tcW w:w="1503" w:type="dxa"/>
            <w:vAlign w:val="center"/>
          </w:tcPr>
          <w:p w14:paraId="63B619D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C095A8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6B602E66" w14:textId="77777777" w:rsidTr="008B11DD">
        <w:trPr>
          <w:trHeight w:val="406"/>
        </w:trPr>
        <w:tc>
          <w:tcPr>
            <w:tcW w:w="1809" w:type="dxa"/>
            <w:vAlign w:val="center"/>
          </w:tcPr>
          <w:p w14:paraId="42C36527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Клон11</w:t>
            </w:r>
          </w:p>
        </w:tc>
        <w:tc>
          <w:tcPr>
            <w:tcW w:w="1462" w:type="dxa"/>
            <w:vAlign w:val="center"/>
          </w:tcPr>
          <w:p w14:paraId="5D0C6541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21</w:t>
            </w:r>
          </w:p>
        </w:tc>
        <w:tc>
          <w:tcPr>
            <w:tcW w:w="1503" w:type="dxa"/>
            <w:vAlign w:val="center"/>
          </w:tcPr>
          <w:p w14:paraId="3F955185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r w:rsidRPr="007C32F0">
              <w:rPr>
                <w:szCs w:val="24"/>
              </w:rPr>
              <w:t>21</w:t>
            </w:r>
          </w:p>
        </w:tc>
        <w:tc>
          <w:tcPr>
            <w:tcW w:w="1503" w:type="dxa"/>
            <w:vAlign w:val="center"/>
          </w:tcPr>
          <w:p w14:paraId="5E652C2A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A5C20B8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</w:p>
        </w:tc>
      </w:tr>
      <w:tr w:rsidR="005B1E05" w:rsidRPr="007C32F0" w14:paraId="17EA1ACA" w14:textId="77777777" w:rsidTr="008B11DD">
        <w:trPr>
          <w:trHeight w:val="427"/>
        </w:trPr>
        <w:tc>
          <w:tcPr>
            <w:tcW w:w="1809" w:type="dxa"/>
            <w:vAlign w:val="center"/>
          </w:tcPr>
          <w:p w14:paraId="63E0ED0C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Общо:</w:t>
            </w:r>
          </w:p>
        </w:tc>
        <w:tc>
          <w:tcPr>
            <w:tcW w:w="1462" w:type="dxa"/>
            <w:vAlign w:val="center"/>
          </w:tcPr>
          <w:p w14:paraId="46F2D813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1754</w:t>
            </w:r>
          </w:p>
        </w:tc>
        <w:tc>
          <w:tcPr>
            <w:tcW w:w="1503" w:type="dxa"/>
            <w:vAlign w:val="center"/>
          </w:tcPr>
          <w:p w14:paraId="6D582E43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826</w:t>
            </w:r>
          </w:p>
        </w:tc>
        <w:tc>
          <w:tcPr>
            <w:tcW w:w="1503" w:type="dxa"/>
            <w:vAlign w:val="center"/>
          </w:tcPr>
          <w:p w14:paraId="6AF3A69D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770</w:t>
            </w:r>
          </w:p>
        </w:tc>
        <w:tc>
          <w:tcPr>
            <w:tcW w:w="1503" w:type="dxa"/>
            <w:vAlign w:val="center"/>
          </w:tcPr>
          <w:p w14:paraId="204BD2FE" w14:textId="77777777" w:rsidR="005B1E05" w:rsidRPr="007C32F0" w:rsidRDefault="005B1E05" w:rsidP="005B1E05">
            <w:pPr>
              <w:pStyle w:val="ListParagraph"/>
              <w:tabs>
                <w:tab w:val="left" w:pos="426"/>
              </w:tabs>
              <w:spacing w:after="0"/>
              <w:ind w:left="0"/>
              <w:jc w:val="center"/>
              <w:rPr>
                <w:b/>
                <w:szCs w:val="24"/>
              </w:rPr>
            </w:pPr>
            <w:r w:rsidRPr="007C32F0">
              <w:rPr>
                <w:b/>
                <w:szCs w:val="24"/>
              </w:rPr>
              <w:t>158</w:t>
            </w:r>
          </w:p>
        </w:tc>
      </w:tr>
    </w:tbl>
    <w:p w14:paraId="0B1279EC" w14:textId="77777777" w:rsidR="00333EFA" w:rsidRPr="007C32F0" w:rsidRDefault="00DB46F9" w:rsidP="00DB46F9">
      <w:pPr>
        <w:pStyle w:val="ListParagraph"/>
        <w:tabs>
          <w:tab w:val="left" w:pos="426"/>
        </w:tabs>
        <w:spacing w:before="240"/>
        <w:ind w:left="0"/>
        <w:rPr>
          <w:i/>
          <w:szCs w:val="24"/>
        </w:rPr>
      </w:pPr>
      <w:r w:rsidRPr="007C32F0">
        <w:rPr>
          <w:i/>
          <w:szCs w:val="24"/>
          <w:lang w:eastAsia="x-none"/>
        </w:rPr>
        <w:tab/>
      </w:r>
      <w:r w:rsidR="00333EFA" w:rsidRPr="007C32F0">
        <w:rPr>
          <w:i/>
          <w:szCs w:val="24"/>
          <w:u w:val="single"/>
          <w:lang w:eastAsia="x-none"/>
        </w:rPr>
        <w:t>Забележка:</w:t>
      </w:r>
      <w:r w:rsidR="00333EFA" w:rsidRPr="007C32F0">
        <w:rPr>
          <w:i/>
          <w:szCs w:val="24"/>
          <w:lang w:eastAsia="x-none"/>
        </w:rPr>
        <w:t xml:space="preserve"> В КСС количествата за доставка и полагане на тръбите са намалени, като е извадена дължината на тръбата в ревизионните шахти.</w:t>
      </w:r>
    </w:p>
    <w:p w14:paraId="5EDC1199" w14:textId="77777777" w:rsidR="005B1E05" w:rsidRPr="007C32F0" w:rsidRDefault="00DB46F9" w:rsidP="00DB46F9">
      <w:pPr>
        <w:pStyle w:val="ListParagraph"/>
        <w:tabs>
          <w:tab w:val="left" w:pos="426"/>
        </w:tabs>
        <w:ind w:left="0"/>
        <w:jc w:val="both"/>
        <w:rPr>
          <w:color w:val="000000"/>
          <w:szCs w:val="24"/>
        </w:rPr>
      </w:pPr>
      <w:r w:rsidRPr="007C32F0">
        <w:rPr>
          <w:color w:val="000000"/>
          <w:szCs w:val="24"/>
        </w:rPr>
        <w:tab/>
      </w:r>
      <w:r w:rsidR="005B1E05" w:rsidRPr="007C32F0">
        <w:rPr>
          <w:color w:val="000000"/>
          <w:szCs w:val="24"/>
        </w:rPr>
        <w:t>Главен клон 1 зауства в Главен колектор III на гр.Свиленград.</w:t>
      </w:r>
    </w:p>
    <w:p w14:paraId="3B9C03A2" w14:textId="77777777" w:rsidR="00640AF3" w:rsidRPr="007C32F0" w:rsidRDefault="00DB46F9" w:rsidP="00DB46F9">
      <w:pPr>
        <w:pStyle w:val="ListParagraph"/>
        <w:tabs>
          <w:tab w:val="left" w:pos="426"/>
        </w:tabs>
        <w:ind w:left="0"/>
        <w:jc w:val="both"/>
        <w:rPr>
          <w:b/>
          <w:color w:val="000000"/>
          <w:szCs w:val="24"/>
        </w:rPr>
      </w:pPr>
      <w:r w:rsidRPr="007C32F0">
        <w:rPr>
          <w:b/>
          <w:color w:val="000000"/>
          <w:szCs w:val="24"/>
        </w:rPr>
        <w:tab/>
      </w:r>
      <w:r w:rsidR="00640AF3" w:rsidRPr="007C32F0">
        <w:rPr>
          <w:b/>
          <w:color w:val="000000"/>
          <w:szCs w:val="24"/>
        </w:rPr>
        <w:t xml:space="preserve">Изграждане на ревизионни шахти /РШ/ и улични оттоци /УО/ - </w:t>
      </w:r>
      <w:r w:rsidR="00640AF3" w:rsidRPr="007C32F0">
        <w:rPr>
          <w:color w:val="000000"/>
          <w:szCs w:val="24"/>
        </w:rPr>
        <w:t>съгласно приложения работен проект.</w:t>
      </w:r>
    </w:p>
    <w:p w14:paraId="6B442AA7" w14:textId="77777777" w:rsidR="00640AF3" w:rsidRPr="007C32F0" w:rsidRDefault="00640AF3" w:rsidP="00640A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F0">
        <w:rPr>
          <w:rFonts w:ascii="Times New Roman" w:hAnsi="Times New Roman" w:cs="Times New Roman"/>
          <w:b/>
          <w:sz w:val="24"/>
          <w:szCs w:val="24"/>
        </w:rPr>
        <w:t xml:space="preserve">Изграждане на сградни канализационни отклонения /СКО/ – </w:t>
      </w:r>
      <w:r w:rsidR="00DB46F9" w:rsidRPr="007C32F0">
        <w:rPr>
          <w:rFonts w:ascii="Times New Roman" w:hAnsi="Times New Roman" w:cs="Times New Roman"/>
          <w:b/>
          <w:sz w:val="24"/>
          <w:szCs w:val="24"/>
        </w:rPr>
        <w:t>97</w:t>
      </w:r>
      <w:r w:rsidRPr="007C32F0">
        <w:rPr>
          <w:rFonts w:ascii="Times New Roman" w:hAnsi="Times New Roman" w:cs="Times New Roman"/>
          <w:b/>
          <w:sz w:val="24"/>
          <w:szCs w:val="24"/>
        </w:rPr>
        <w:t xml:space="preserve"> бр</w:t>
      </w:r>
      <w:r w:rsidRPr="007C32F0">
        <w:rPr>
          <w:rFonts w:ascii="Times New Roman" w:hAnsi="Times New Roman" w:cs="Times New Roman"/>
          <w:sz w:val="24"/>
          <w:szCs w:val="24"/>
        </w:rPr>
        <w:t>.</w:t>
      </w:r>
    </w:p>
    <w:p w14:paraId="3125297A" w14:textId="77777777" w:rsidR="00640AF3" w:rsidRPr="007C32F0" w:rsidRDefault="00640AF3" w:rsidP="00DB529C">
      <w:pPr>
        <w:pStyle w:val="Heading1"/>
        <w:keepLines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" w:name="_Toc337126920"/>
      <w:bookmarkStart w:id="7" w:name="_Toc454193013"/>
      <w:r w:rsidRPr="007C32F0">
        <w:rPr>
          <w:rFonts w:ascii="Times New Roman" w:hAnsi="Times New Roman"/>
          <w:sz w:val="24"/>
          <w:szCs w:val="24"/>
        </w:rPr>
        <w:lastRenderedPageBreak/>
        <w:t>Обща част</w:t>
      </w:r>
      <w:bookmarkEnd w:id="6"/>
      <w:bookmarkEnd w:id="7"/>
    </w:p>
    <w:p w14:paraId="79B4FADE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Продуктите, които се предвиждат с инвестиционния проект и ще се влагат в строителството, трябва да имат оценено съответствие със съществените изисквания, определени с „Наредбата за съществените изисквания към строежите и оценяване съответствието на строителните продукти” (НСИСОССП).</w:t>
      </w:r>
    </w:p>
    <w:p w14:paraId="2F0916C7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Съгласно чл. 4 от Наредбата:</w:t>
      </w:r>
    </w:p>
    <w:p w14:paraId="0ABB9B26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Чл. 4. (Изм., ДВ, бр. 18 от 2012 г.) (1) Строителните продукти се оценяват в съответствие с изискванията на техническите спецификации по чл. 5, ал. 2 ЗТИП, наричани по-нататък „европейски технически спецификации”, както следва:</w:t>
      </w:r>
    </w:p>
    <w:p w14:paraId="5A3BC5E3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1. национални стандарти на държавите – членки на Европейския съюз, с които се въвеждат хармонизирани европейски стандарти, чиито номера са публикувани в „Официален вестник” на Европейския съюз;</w:t>
      </w:r>
    </w:p>
    <w:p w14:paraId="42238170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2. европейски технически одобрения, когато няма технически спецификации по т. 1;</w:t>
      </w:r>
    </w:p>
    <w:p w14:paraId="672975B5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3. национални технически спецификации, чиито номера са публикувани в „Официален вестник” на Европейския съюз, когато няма технически спецификации по т. 1 и 2.</w:t>
      </w:r>
    </w:p>
    <w:p w14:paraId="3C95A0A8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(2) Когато техническите спецификации по ал. 1 не съществуват, не са публикувани или не са влезли в сила, строителните продукти се оценяват в съответствие с изискванията на нормативните актове и техническите спецификации по чл. 5, ал. 3 ЗТИП, наричани по-нататък „български технически спецификации”, както следва:</w:t>
      </w:r>
    </w:p>
    <w:p w14:paraId="53412931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1. нормативните актове за проектиране, изпълнение, контрол и поддържане на строежите, когато съдържат изисквания към строителните продукти, и/или</w:t>
      </w:r>
    </w:p>
    <w:p w14:paraId="05D626AE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2. националните стандарти, с които се въвеждат европейски или международни стандарти;</w:t>
      </w:r>
    </w:p>
    <w:p w14:paraId="03968794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3. българските национални стандарти или националните стандарти с еквивалентни на българските методи и изисквания, когато няма стандарти по т. 2;</w:t>
      </w:r>
    </w:p>
    <w:p w14:paraId="40DBEC3E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4. българските технически одобрения, когато няма стандарти по т. 2 и 3.</w:t>
      </w:r>
    </w:p>
    <w:p w14:paraId="5002D832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Съгласно чл. 6 от НСИСОССП:</w:t>
      </w:r>
    </w:p>
    <w:p w14:paraId="182CCF8E" w14:textId="77777777" w:rsidR="00640AF3" w:rsidRPr="007C32F0" w:rsidRDefault="00640AF3" w:rsidP="00640AF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Чл. 6. (1) Контролът на влаганите в строежа строителни продукти се осъществява от консултанта при извършване оценката на съответствие на инвестиционните проекти и при упражняване на строителен надзор по реда на ЗУТ.</w:t>
      </w:r>
    </w:p>
    <w:p w14:paraId="0A2348D1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 xml:space="preserve">Материалите и продуктите, които попадат в обхвата на Директива </w:t>
      </w:r>
      <w:hyperlink r:id="rId8" w:history="1">
        <w:r w:rsidRPr="007C32F0">
          <w:rPr>
            <w:szCs w:val="24"/>
          </w:rPr>
          <w:t>89/106/EEC - Строителни продукти</w:t>
        </w:r>
      </w:hyperlink>
      <w:r w:rsidRPr="007C32F0">
        <w:rPr>
          <w:szCs w:val="24"/>
        </w:rPr>
        <w:t xml:space="preserve"> трябва да бъдат съпроводени с документацията, съответстваща на изискванията на (НСИСОССП) и съответната система за оценяване на съответствието. Възложителят и Надзора ще изискват от Изпълнителя Декларации за съответствие на производителя за всички влагани продукти, придружени от Сертификати за качество за </w:t>
      </w:r>
      <w:r w:rsidRPr="007C32F0">
        <w:rPr>
          <w:szCs w:val="24"/>
        </w:rPr>
        <w:lastRenderedPageBreak/>
        <w:t>продуктите, за които се изисква такъв съгласно НСИСОССП, както и от други документи, например протоколи от изпитване и др., удостоверяващи съответствието на продуктите с изискванията на нормативните актове, действащи в Република България.</w:t>
      </w:r>
    </w:p>
    <w:p w14:paraId="06AD1F52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Всички продукти, материали и оборудване, които ще се вложат в ремонтните работи, трябва да бъдат нова доставка, неизползвани и да отговарят на проектната документация и настоящите Технически спецификации и да са съобразени с всички валидни промени в проектната документация освен, ако изрично не е упоменато друго в Договора.</w:t>
      </w:r>
    </w:p>
    <w:p w14:paraId="3A973267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Доставката и съхраняването на материалите трябва да гарантира запазване на качеството и стандарта им.</w:t>
      </w:r>
    </w:p>
    <w:p w14:paraId="55757A4D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 xml:space="preserve">След подписване на договор и преди началото на СМР Изпълнителят трябва да представи на Надзора списък на производителите и източниците на материали, които възнамерява да използва за изпълнение на строително - ремонтните работи. Всяка следваща доставка трябва да отговаря на качеството, одобрено от Надзора. </w:t>
      </w:r>
    </w:p>
    <w:p w14:paraId="16E1B07F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Нови производители и източниците на материали може да бъдат представени на Надзора за одобрение по време на изпълнение на строително - монтажните работи, но не могат да се използват без изричното одобрение на Надзора.</w:t>
      </w:r>
    </w:p>
    <w:p w14:paraId="6B3CA76A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bookmarkStart w:id="8" w:name="_Toc224968947"/>
      <w:r w:rsidRPr="007C32F0">
        <w:rPr>
          <w:szCs w:val="24"/>
        </w:rPr>
        <w:t xml:space="preserve">Справка за Българските стандарти, както и </w:t>
      </w:r>
      <w:bookmarkStart w:id="9" w:name="_Toc224968949"/>
      <w:r w:rsidRPr="007C32F0">
        <w:rPr>
          <w:szCs w:val="24"/>
        </w:rPr>
        <w:t>списък на хармонизирани стандарти, възприети като български стандарти, може да бъде намерен на интернет страницата на Българския институт по стандартизация</w:t>
      </w:r>
      <w:bookmarkEnd w:id="8"/>
      <w:bookmarkEnd w:id="9"/>
      <w:r w:rsidRPr="007C32F0">
        <w:rPr>
          <w:szCs w:val="24"/>
        </w:rPr>
        <w:t>:</w:t>
      </w:r>
    </w:p>
    <w:p w14:paraId="10EF7EF4" w14:textId="77777777" w:rsidR="00640AF3" w:rsidRPr="007C32F0" w:rsidRDefault="00421B41" w:rsidP="00640AF3">
      <w:pPr>
        <w:pStyle w:val="ListParagraph"/>
        <w:ind w:left="0" w:firstLine="283"/>
        <w:jc w:val="both"/>
        <w:rPr>
          <w:szCs w:val="24"/>
        </w:rPr>
      </w:pPr>
      <w:hyperlink r:id="rId9" w:history="1">
        <w:r w:rsidR="00640AF3" w:rsidRPr="007C32F0">
          <w:rPr>
            <w:szCs w:val="24"/>
          </w:rPr>
          <w:t>http://www.bds-bg.org</w:t>
        </w:r>
      </w:hyperlink>
    </w:p>
    <w:p w14:paraId="4EE60A6A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 xml:space="preserve">Списъкът на съответните хармонизирани стандарти може да бъде намерен на сайта на Официалния вестник на Европейския съюз № C </w:t>
      </w:r>
      <w:r w:rsidRPr="007C32F0" w:rsidDel="00AE6CFB">
        <w:rPr>
          <w:szCs w:val="24"/>
        </w:rPr>
        <w:t>134</w:t>
      </w:r>
      <w:r w:rsidRPr="007C32F0">
        <w:rPr>
          <w:szCs w:val="24"/>
        </w:rPr>
        <w:t>304/2006. Ако по време на изпълнение на строителните дейности бъде обнародван нов актуален списък с хармонизирани стандарти, новият списък трябва да бъде използван.</w:t>
      </w:r>
    </w:p>
    <w:p w14:paraId="6A2A720D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http://europa.eu.int/eur-lex/en/oj/</w:t>
      </w:r>
    </w:p>
    <w:p w14:paraId="79664BFD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  <w:r w:rsidRPr="007C32F0">
        <w:rPr>
          <w:szCs w:val="24"/>
        </w:rPr>
        <w:t>В случай, че в работните проекти на настоящата документация или в друг текст са споменати търговски марки, да се счита, че те са използвани от проектантите само за целите на изчисляване и в изключителни случаи, когато е невъзможно обектът на поръчката да се опише точно и разбираемо. В процеса на изпълнение могат да бъдат заменени с еквивалентни материали, оборудване и продукти с цел да се дадат възможности за равен достъп на кандидатите или участниците за участие в процедурата и да не създават необосновани пречки пред конкуренцията.</w:t>
      </w:r>
    </w:p>
    <w:p w14:paraId="647E1EFF" w14:textId="77777777" w:rsidR="00640AF3" w:rsidRPr="007C32F0" w:rsidRDefault="00640AF3" w:rsidP="00640AF3">
      <w:pPr>
        <w:pStyle w:val="Heading1"/>
        <w:keepLines/>
        <w:numPr>
          <w:ilvl w:val="0"/>
          <w:numId w:val="1"/>
        </w:numPr>
        <w:tabs>
          <w:tab w:val="left" w:pos="284"/>
        </w:tabs>
        <w:spacing w:before="48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" w:name="_Toc337126921"/>
      <w:bookmarkStart w:id="11" w:name="_Toc454193014"/>
      <w:r w:rsidRPr="007C32F0">
        <w:rPr>
          <w:rFonts w:ascii="Times New Roman" w:hAnsi="Times New Roman"/>
          <w:sz w:val="24"/>
          <w:szCs w:val="24"/>
        </w:rPr>
        <w:lastRenderedPageBreak/>
        <w:t>Специална част</w:t>
      </w:r>
      <w:bookmarkEnd w:id="10"/>
      <w:bookmarkEnd w:id="11"/>
    </w:p>
    <w:p w14:paraId="557800AA" w14:textId="77777777" w:rsidR="00640AF3" w:rsidRPr="007C32F0" w:rsidRDefault="00640AF3" w:rsidP="002E30D7">
      <w:pPr>
        <w:pStyle w:val="Heading2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2" w:name="_Toc337126923"/>
      <w:bookmarkStart w:id="13" w:name="_Toc454193015"/>
      <w:r w:rsidRPr="007C32F0">
        <w:rPr>
          <w:rFonts w:ascii="Times New Roman" w:hAnsi="Times New Roman" w:cs="Times New Roman"/>
          <w:sz w:val="24"/>
          <w:szCs w:val="24"/>
          <w:lang w:val="bg-BG"/>
        </w:rPr>
        <w:t>Водопроводна мрежа:</w:t>
      </w:r>
      <w:bookmarkEnd w:id="12"/>
      <w:bookmarkEnd w:id="13"/>
    </w:p>
    <w:p w14:paraId="77BE6667" w14:textId="77777777" w:rsidR="00640AF3" w:rsidRPr="007C32F0" w:rsidRDefault="00640AF3" w:rsidP="002E30D7">
      <w:pPr>
        <w:pStyle w:val="Heading3"/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4" w:name="_Toc454193016"/>
      <w:r w:rsidRPr="007C32F0">
        <w:rPr>
          <w:rFonts w:ascii="Times New Roman" w:hAnsi="Times New Roman"/>
          <w:sz w:val="24"/>
          <w:szCs w:val="24"/>
        </w:rPr>
        <w:t>Тръби</w:t>
      </w:r>
      <w:bookmarkEnd w:id="14"/>
    </w:p>
    <w:p w14:paraId="5E6B65CB" w14:textId="77777777" w:rsidR="00640AF3" w:rsidRPr="007C32F0" w:rsidRDefault="00640AF3" w:rsidP="00640AF3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Тръбите за водоснабдяване да са от полиетилен PE, с номинално налягане PN10 и да отговарят на БДС EN 12</w:t>
      </w:r>
      <w:r w:rsidR="00155146" w:rsidRPr="007C32F0">
        <w:rPr>
          <w:rFonts w:ascii="Times New Roman" w:hAnsi="Times New Roman" w:cs="Times New Roman"/>
          <w:sz w:val="24"/>
          <w:szCs w:val="24"/>
        </w:rPr>
        <w:t> </w:t>
      </w:r>
      <w:r w:rsidRPr="007C32F0">
        <w:rPr>
          <w:rFonts w:ascii="Times New Roman" w:hAnsi="Times New Roman" w:cs="Times New Roman"/>
          <w:sz w:val="24"/>
          <w:szCs w:val="24"/>
        </w:rPr>
        <w:t>201</w:t>
      </w:r>
      <w:r w:rsidR="00155146" w:rsidRPr="007C32F0">
        <w:rPr>
          <w:rFonts w:ascii="Times New Roman" w:hAnsi="Times New Roman" w:cs="Times New Roman"/>
          <w:sz w:val="24"/>
          <w:szCs w:val="24"/>
        </w:rPr>
        <w:t xml:space="preserve"> или еквивалентен</w:t>
      </w:r>
      <w:r w:rsidRPr="007C32F0">
        <w:rPr>
          <w:rFonts w:ascii="Times New Roman" w:hAnsi="Times New Roman" w:cs="Times New Roman"/>
          <w:sz w:val="24"/>
          <w:szCs w:val="24"/>
        </w:rPr>
        <w:t>. Цветът да е черен със синя ивица</w:t>
      </w:r>
      <w:r w:rsidR="00155146" w:rsidRPr="007C32F0">
        <w:rPr>
          <w:rFonts w:ascii="Times New Roman" w:hAnsi="Times New Roman" w:cs="Times New Roman"/>
          <w:sz w:val="24"/>
          <w:szCs w:val="24"/>
        </w:rPr>
        <w:t>, черен</w:t>
      </w:r>
      <w:r w:rsidRPr="007C32F0">
        <w:rPr>
          <w:rFonts w:ascii="Times New Roman" w:hAnsi="Times New Roman" w:cs="Times New Roman"/>
          <w:sz w:val="24"/>
          <w:szCs w:val="24"/>
        </w:rPr>
        <w:t xml:space="preserve"> или изцяло син.</w:t>
      </w:r>
    </w:p>
    <w:p w14:paraId="592CF7A2" w14:textId="77777777" w:rsidR="00640AF3" w:rsidRPr="007C32F0" w:rsidRDefault="00640AF3" w:rsidP="00640AF3">
      <w:pPr>
        <w:pStyle w:val="Heading3"/>
        <w:numPr>
          <w:ilvl w:val="2"/>
          <w:numId w:val="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5" w:name="_Toc454193017"/>
      <w:r w:rsidRPr="007C32F0">
        <w:rPr>
          <w:rFonts w:ascii="Times New Roman" w:hAnsi="Times New Roman"/>
          <w:sz w:val="24"/>
          <w:szCs w:val="24"/>
        </w:rPr>
        <w:t>Фасонни части</w:t>
      </w:r>
      <w:bookmarkEnd w:id="15"/>
    </w:p>
    <w:p w14:paraId="2D24E85B" w14:textId="77777777" w:rsidR="00640AF3" w:rsidRPr="007C32F0" w:rsidRDefault="00640AF3" w:rsidP="00640AF3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 xml:space="preserve">Всички фасонни части да са </w:t>
      </w:r>
      <w:r w:rsidR="00155146" w:rsidRPr="007C32F0">
        <w:rPr>
          <w:szCs w:val="24"/>
        </w:rPr>
        <w:t xml:space="preserve">за </w:t>
      </w:r>
      <w:r w:rsidRPr="007C32F0">
        <w:rPr>
          <w:szCs w:val="24"/>
        </w:rPr>
        <w:t>минимално налягане PN 10.</w:t>
      </w:r>
    </w:p>
    <w:p w14:paraId="7BF2B11D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Фасонните части /фитинги/, предназначени за челно заваряване /тройници, колена, намалители, фланшови накрайници и други/ да са от PE 100 съгласно БДС EN 12 201 или еквивалентен.</w:t>
      </w:r>
    </w:p>
    <w:p w14:paraId="28819F5F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Фасонните части с бърза механична връзка да са от полипропилен или полиетилен.</w:t>
      </w:r>
    </w:p>
    <w:p w14:paraId="0FCBC07A" w14:textId="77777777" w:rsidR="00640AF3" w:rsidRPr="007C32F0" w:rsidRDefault="00640AF3" w:rsidP="00640AF3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7C32F0">
        <w:rPr>
          <w:rFonts w:ascii="Times New Roman" w:hAnsi="Times New Roman" w:cs="Times New Roman"/>
          <w:color w:val="auto"/>
        </w:rPr>
        <w:t xml:space="preserve">Фитингите за електрозаварка да бъдат изработени от РЕ100. Всеки фитинг да се доставя в отделна опаковка и с бар-код, който да съдържа пълна информация за начина на извършване на заварката, както и за необходимото време за изстиване на заварката. Фитингите трябва да имат конструктивен ограничител, указващ дълбочината на проникване на тръбата. </w:t>
      </w:r>
    </w:p>
    <w:p w14:paraId="16A3CE4E" w14:textId="77777777" w:rsidR="00640AF3" w:rsidRPr="007C32F0" w:rsidRDefault="00640AF3" w:rsidP="00640AF3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>Фасонните части от сферографитен чугун, като универсални адаптори за връзка със съществуващата водопроводна мрежа, универсални жиба, комби фланци, демонтажни връзки и други да са от GGG 40 или GGG 50 и да са с епоксидно покритие. Уплътненията да са от EPDM.</w:t>
      </w:r>
    </w:p>
    <w:p w14:paraId="252E52D7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Водовземните скоби може да са различни конструкции:</w:t>
      </w:r>
    </w:p>
    <w:p w14:paraId="7D2CC709" w14:textId="77777777" w:rsidR="00640AF3" w:rsidRPr="007C32F0" w:rsidRDefault="00640AF3" w:rsidP="00640AF3">
      <w:pPr>
        <w:pStyle w:val="Default"/>
        <w:ind w:firstLine="283"/>
        <w:jc w:val="both"/>
        <w:rPr>
          <w:rFonts w:ascii="Times New Roman" w:hAnsi="Times New Roman" w:cs="Times New Roman"/>
          <w:color w:val="auto"/>
        </w:rPr>
      </w:pPr>
      <w:r w:rsidRPr="007C32F0">
        <w:rPr>
          <w:rFonts w:ascii="Times New Roman" w:hAnsi="Times New Roman" w:cs="Times New Roman"/>
          <w:color w:val="auto"/>
        </w:rPr>
        <w:t xml:space="preserve"> - С глава от сферографитен чугун (фланшова или с резба) с епоксидно прахово покритие комплектована с уплътнителна гума от EPDM. Фланците на изхода трябва да отговарят на БДС EN 1092 или еквивалентно. Лента (чембер) (1 – 4 броя в зависимост от размера) от неръждаема стомана в двата края завършваща с шпилки, комплектовани с болт и шайба. Металната лента да е бандажирана с гумена лента;</w:t>
      </w:r>
    </w:p>
    <w:p w14:paraId="39DCA8AB" w14:textId="77777777" w:rsidR="00640AF3" w:rsidRPr="007C32F0" w:rsidRDefault="00640AF3" w:rsidP="00640AF3">
      <w:pPr>
        <w:pStyle w:val="Default"/>
        <w:ind w:firstLine="283"/>
        <w:jc w:val="both"/>
        <w:rPr>
          <w:rFonts w:ascii="Times New Roman" w:hAnsi="Times New Roman" w:cs="Times New Roman"/>
          <w:color w:val="auto"/>
        </w:rPr>
      </w:pPr>
      <w:r w:rsidRPr="007C32F0">
        <w:rPr>
          <w:rFonts w:ascii="Times New Roman" w:hAnsi="Times New Roman" w:cs="Times New Roman"/>
          <w:color w:val="auto"/>
        </w:rPr>
        <w:t>- От полиетилен или полипропилен с отвор на резба за сградното отклонение;</w:t>
      </w:r>
    </w:p>
    <w:p w14:paraId="613F8076" w14:textId="77777777" w:rsidR="00640AF3" w:rsidRPr="007C32F0" w:rsidRDefault="00640AF3" w:rsidP="00640AF3">
      <w:pPr>
        <w:pStyle w:val="Default"/>
        <w:ind w:firstLine="283"/>
        <w:jc w:val="both"/>
        <w:rPr>
          <w:rFonts w:ascii="Times New Roman" w:hAnsi="Times New Roman" w:cs="Times New Roman"/>
          <w:color w:val="auto"/>
        </w:rPr>
      </w:pPr>
      <w:r w:rsidRPr="007C32F0">
        <w:rPr>
          <w:rFonts w:ascii="Times New Roman" w:hAnsi="Times New Roman" w:cs="Times New Roman"/>
          <w:color w:val="auto"/>
        </w:rPr>
        <w:t>- От чугун с две части, които се свързват с болтове помежду си.</w:t>
      </w:r>
    </w:p>
    <w:p w14:paraId="5C300EA0" w14:textId="77777777" w:rsidR="00640AF3" w:rsidRPr="007C32F0" w:rsidRDefault="00640AF3" w:rsidP="00640AF3">
      <w:pPr>
        <w:pStyle w:val="ListParagraph"/>
        <w:ind w:left="0" w:firstLine="283"/>
        <w:jc w:val="both"/>
        <w:rPr>
          <w:szCs w:val="24"/>
        </w:rPr>
      </w:pPr>
    </w:p>
    <w:p w14:paraId="3AADEF36" w14:textId="77777777" w:rsidR="00640AF3" w:rsidRPr="007C32F0" w:rsidRDefault="00640AF3" w:rsidP="00640AF3">
      <w:pPr>
        <w:pStyle w:val="Heading3"/>
        <w:numPr>
          <w:ilvl w:val="2"/>
          <w:numId w:val="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6" w:name="_Toc454193018"/>
      <w:r w:rsidRPr="007C32F0">
        <w:rPr>
          <w:rFonts w:ascii="Times New Roman" w:hAnsi="Times New Roman"/>
          <w:sz w:val="24"/>
          <w:szCs w:val="24"/>
        </w:rPr>
        <w:t>Арматури</w:t>
      </w:r>
      <w:bookmarkEnd w:id="16"/>
    </w:p>
    <w:p w14:paraId="3DBEB15A" w14:textId="77777777" w:rsidR="00640AF3" w:rsidRPr="007C32F0" w:rsidRDefault="00640AF3" w:rsidP="00640AF3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>Всички арматури да са за работно налягане PN 10.</w:t>
      </w:r>
    </w:p>
    <w:p w14:paraId="57A68F27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 xml:space="preserve">Спирателните кранове да са шибърни или тип „Бътерфлай“ – със собствени фланци и с редуктор на оборотите, подходящи за подземен монтаж. Клинът на шибъра или диска да са гумирани с EPDM. Корпусът да е от сферографитен чугун. Фланците да са по </w:t>
      </w:r>
      <w:r w:rsidRPr="007C32F0">
        <w:rPr>
          <w:szCs w:val="24"/>
        </w:rPr>
        <w:lastRenderedPageBreak/>
        <w:t>стандарт БДС EN1092</w:t>
      </w:r>
      <w:r w:rsidR="00155146" w:rsidRPr="007C32F0">
        <w:rPr>
          <w:szCs w:val="24"/>
        </w:rPr>
        <w:t xml:space="preserve"> или еквивалентен</w:t>
      </w:r>
      <w:r w:rsidRPr="007C32F0">
        <w:rPr>
          <w:szCs w:val="24"/>
        </w:rPr>
        <w:t>. Покритието да е епоксидно отвътре и отвън. Дължината да е съгласно БДС EN 558</w:t>
      </w:r>
      <w:r w:rsidR="00155146" w:rsidRPr="007C32F0">
        <w:rPr>
          <w:szCs w:val="24"/>
        </w:rPr>
        <w:t xml:space="preserve"> или еквивалентен</w:t>
      </w:r>
      <w:r w:rsidRPr="007C32F0">
        <w:rPr>
          <w:szCs w:val="24"/>
        </w:rPr>
        <w:t>.</w:t>
      </w:r>
    </w:p>
    <w:p w14:paraId="2BCEB39F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Пожарните хидранти да отговарят на БДС EN 1074-6</w:t>
      </w:r>
      <w:r w:rsidR="00155146" w:rsidRPr="007C32F0">
        <w:rPr>
          <w:szCs w:val="24"/>
        </w:rPr>
        <w:t xml:space="preserve"> или еквивалентен</w:t>
      </w:r>
      <w:r w:rsidRPr="007C32F0">
        <w:rPr>
          <w:szCs w:val="24"/>
        </w:rPr>
        <w:t>, да са надземни с размери на присъединителния фланец DN 80 съгласно БДС EN 1092</w:t>
      </w:r>
      <w:r w:rsidR="00155146" w:rsidRPr="007C32F0">
        <w:rPr>
          <w:szCs w:val="24"/>
        </w:rPr>
        <w:t xml:space="preserve"> или еквивалентен</w:t>
      </w:r>
      <w:r w:rsidRPr="007C32F0">
        <w:rPr>
          <w:szCs w:val="24"/>
        </w:rPr>
        <w:t>. Покритието да е от емайл и/или епоксидно.</w:t>
      </w:r>
    </w:p>
    <w:p w14:paraId="33CD962E" w14:textId="77777777" w:rsidR="00640AF3" w:rsidRPr="007C32F0" w:rsidRDefault="00640AF3" w:rsidP="00640AF3">
      <w:pPr>
        <w:pStyle w:val="Heading3"/>
        <w:numPr>
          <w:ilvl w:val="2"/>
          <w:numId w:val="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7" w:name="_Toc337126925"/>
      <w:bookmarkStart w:id="18" w:name="_Toc454193019"/>
      <w:r w:rsidRPr="007C32F0">
        <w:rPr>
          <w:rFonts w:ascii="Times New Roman" w:hAnsi="Times New Roman"/>
          <w:sz w:val="24"/>
          <w:szCs w:val="24"/>
        </w:rPr>
        <w:t>Начин на полагане на тръбопроводите:</w:t>
      </w:r>
      <w:bookmarkEnd w:id="17"/>
      <w:bookmarkEnd w:id="18"/>
    </w:p>
    <w:p w14:paraId="71073E1F" w14:textId="77777777" w:rsidR="00640AF3" w:rsidRPr="007C32F0" w:rsidRDefault="00640AF3" w:rsidP="00B32AD4">
      <w:pPr>
        <w:pStyle w:val="Heading3"/>
        <w:numPr>
          <w:ilvl w:val="2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" w:name="_Toc454193020"/>
      <w:r w:rsidRPr="007C32F0">
        <w:rPr>
          <w:rFonts w:ascii="Times New Roman" w:hAnsi="Times New Roman"/>
          <w:sz w:val="24"/>
          <w:szCs w:val="24"/>
        </w:rPr>
        <w:t>Общи положения</w:t>
      </w:r>
      <w:bookmarkEnd w:id="19"/>
    </w:p>
    <w:p w14:paraId="3DE71C2E" w14:textId="77777777" w:rsidR="00640AF3" w:rsidRPr="007C32F0" w:rsidRDefault="00640AF3" w:rsidP="00640AF3">
      <w:pPr>
        <w:pStyle w:val="ListParagraph"/>
        <w:spacing w:before="240"/>
        <w:ind w:left="0" w:firstLine="284"/>
        <w:jc w:val="both"/>
        <w:rPr>
          <w:szCs w:val="24"/>
        </w:rPr>
      </w:pPr>
      <w:bookmarkStart w:id="20" w:name="_GoBack"/>
      <w:bookmarkEnd w:id="20"/>
      <w:r w:rsidRPr="00421B41">
        <w:rPr>
          <w:szCs w:val="24"/>
        </w:rPr>
        <w:t xml:space="preserve">Тръбопроводите </w:t>
      </w:r>
      <w:r w:rsidR="00155146" w:rsidRPr="00421B41">
        <w:rPr>
          <w:szCs w:val="24"/>
        </w:rPr>
        <w:t xml:space="preserve">могат </w:t>
      </w:r>
      <w:r w:rsidRPr="00421B41">
        <w:rPr>
          <w:szCs w:val="24"/>
        </w:rPr>
        <w:t>да се полагат по безизкопен способ</w:t>
      </w:r>
      <w:r w:rsidR="00155146" w:rsidRPr="00421B41">
        <w:rPr>
          <w:szCs w:val="24"/>
        </w:rPr>
        <w:t>,</w:t>
      </w:r>
      <w:r w:rsidRPr="00421B41">
        <w:rPr>
          <w:szCs w:val="24"/>
        </w:rPr>
        <w:t xml:space="preserve"> по открит класически способ или чрез комбинация от двата способа.</w:t>
      </w:r>
    </w:p>
    <w:p w14:paraId="6630E05C" w14:textId="77777777" w:rsidR="00640AF3" w:rsidRPr="007C32F0" w:rsidRDefault="00640AF3" w:rsidP="00640AF3">
      <w:pPr>
        <w:pStyle w:val="Heading3"/>
        <w:numPr>
          <w:ilvl w:val="3"/>
          <w:numId w:val="1"/>
        </w:numPr>
        <w:tabs>
          <w:tab w:val="left" w:pos="709"/>
          <w:tab w:val="left" w:pos="113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1" w:name="_Toc454193021"/>
      <w:r w:rsidRPr="007C32F0">
        <w:rPr>
          <w:rFonts w:ascii="Times New Roman" w:hAnsi="Times New Roman"/>
          <w:sz w:val="24"/>
          <w:szCs w:val="24"/>
        </w:rPr>
        <w:t>Сградни водопроводни отклонения</w:t>
      </w:r>
      <w:bookmarkEnd w:id="21"/>
    </w:p>
    <w:p w14:paraId="7C1C067B" w14:textId="77777777" w:rsidR="00640AF3" w:rsidRPr="007C32F0" w:rsidRDefault="00640AF3" w:rsidP="00640AF3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Изпълнителят трябва да прекъсне съществуващите действащи водопроводни сградни отклонения и да ги присъедини към новите водопроводи.</w:t>
      </w:r>
    </w:p>
    <w:p w14:paraId="5A318D73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Сградните отклонения да са с тротоарен спирателен кран /ТСК/. Да се подменят</w:t>
      </w:r>
      <w:r w:rsidR="00155146" w:rsidRPr="007C32F0">
        <w:rPr>
          <w:szCs w:val="24"/>
        </w:rPr>
        <w:t>/изградят</w:t>
      </w:r>
      <w:r w:rsidRPr="007C32F0">
        <w:rPr>
          <w:szCs w:val="24"/>
        </w:rPr>
        <w:t xml:space="preserve"> до регулационна</w:t>
      </w:r>
      <w:r w:rsidR="005A453B" w:rsidRPr="007C32F0">
        <w:rPr>
          <w:szCs w:val="24"/>
        </w:rPr>
        <w:t>та</w:t>
      </w:r>
      <w:r w:rsidRPr="007C32F0">
        <w:rPr>
          <w:szCs w:val="24"/>
        </w:rPr>
        <w:t xml:space="preserve"> линия</w:t>
      </w:r>
      <w:r w:rsidR="005A453B" w:rsidRPr="007C32F0">
        <w:rPr>
          <w:szCs w:val="24"/>
        </w:rPr>
        <w:t>.</w:t>
      </w:r>
    </w:p>
    <w:p w14:paraId="3A0C5CDA" w14:textId="77777777" w:rsidR="00640AF3" w:rsidRPr="007C32F0" w:rsidRDefault="00640AF3" w:rsidP="00640AF3">
      <w:pPr>
        <w:pStyle w:val="Heading3"/>
        <w:numPr>
          <w:ilvl w:val="3"/>
          <w:numId w:val="1"/>
        </w:numPr>
        <w:tabs>
          <w:tab w:val="left" w:pos="709"/>
          <w:tab w:val="left" w:pos="113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2" w:name="_Toc454193022"/>
      <w:r w:rsidRPr="007C32F0">
        <w:rPr>
          <w:rFonts w:ascii="Times New Roman" w:hAnsi="Times New Roman"/>
          <w:sz w:val="24"/>
          <w:szCs w:val="24"/>
        </w:rPr>
        <w:t>Полагане</w:t>
      </w:r>
      <w:bookmarkEnd w:id="22"/>
    </w:p>
    <w:p w14:paraId="0752FC81" w14:textId="77777777" w:rsidR="00640AF3" w:rsidRPr="007C32F0" w:rsidRDefault="005A453B" w:rsidP="00640AF3">
      <w:pPr>
        <w:pStyle w:val="ListParagraph"/>
        <w:spacing w:before="240"/>
        <w:ind w:left="0" w:firstLine="283"/>
        <w:jc w:val="both"/>
        <w:rPr>
          <w:szCs w:val="24"/>
        </w:rPr>
      </w:pPr>
      <w:r w:rsidRPr="007C32F0">
        <w:rPr>
          <w:szCs w:val="24"/>
        </w:rPr>
        <w:t>О</w:t>
      </w:r>
      <w:r w:rsidR="00640AF3" w:rsidRPr="007C32F0">
        <w:rPr>
          <w:szCs w:val="24"/>
        </w:rPr>
        <w:t>братната засипка на изкопите да е съгласно  показания детайл в работния проект. Водопроводът да се положи върху 10</w:t>
      </w:r>
      <w:r w:rsidRPr="007C32F0">
        <w:rPr>
          <w:szCs w:val="24"/>
        </w:rPr>
        <w:t xml:space="preserve"> </w:t>
      </w:r>
      <w:r w:rsidR="00640AF3" w:rsidRPr="007C32F0">
        <w:rPr>
          <w:szCs w:val="24"/>
        </w:rPr>
        <w:t>см подложка. Уплътняването на обратната засипка да става на пластове от 20-30 см. Предвиден</w:t>
      </w:r>
      <w:r w:rsidRPr="007C32F0">
        <w:rPr>
          <w:szCs w:val="24"/>
        </w:rPr>
        <w:t>и са</w:t>
      </w:r>
      <w:r w:rsidR="00640AF3" w:rsidRPr="007C32F0">
        <w:rPr>
          <w:szCs w:val="24"/>
        </w:rPr>
        <w:t xml:space="preserve"> детекторен кабел</w:t>
      </w:r>
      <w:r w:rsidRPr="007C32F0">
        <w:rPr>
          <w:szCs w:val="24"/>
        </w:rPr>
        <w:t>/детекторна лента</w:t>
      </w:r>
      <w:r w:rsidR="00640AF3" w:rsidRPr="007C32F0">
        <w:rPr>
          <w:szCs w:val="24"/>
        </w:rPr>
        <w:t xml:space="preserve">, </w:t>
      </w:r>
      <w:r w:rsidRPr="007C32F0">
        <w:rPr>
          <w:szCs w:val="24"/>
        </w:rPr>
        <w:t xml:space="preserve">които </w:t>
      </w:r>
      <w:r w:rsidR="00640AF3" w:rsidRPr="007C32F0">
        <w:rPr>
          <w:szCs w:val="24"/>
        </w:rPr>
        <w:t>се поставя</w:t>
      </w:r>
      <w:r w:rsidRPr="007C32F0">
        <w:rPr>
          <w:szCs w:val="24"/>
        </w:rPr>
        <w:t>т</w:t>
      </w:r>
      <w:r w:rsidR="00640AF3" w:rsidRPr="007C32F0">
        <w:rPr>
          <w:szCs w:val="24"/>
        </w:rPr>
        <w:t xml:space="preserve"> над тръбата. Основната обратна засипка се изпълнява </w:t>
      </w:r>
      <w:r w:rsidRPr="007C32F0">
        <w:rPr>
          <w:szCs w:val="24"/>
        </w:rPr>
        <w:t xml:space="preserve">от изкопаните почви </w:t>
      </w:r>
      <w:r w:rsidR="00640AF3" w:rsidRPr="007C32F0">
        <w:rPr>
          <w:szCs w:val="24"/>
        </w:rPr>
        <w:t xml:space="preserve">до кота пътно легло. Степента на уплътняване на засипката да е равна или по-голяма от стандартна плътност по Проктър 96%. </w:t>
      </w:r>
    </w:p>
    <w:p w14:paraId="15AD8428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При извършване на строително монтажните работи да се спазват изискванията на действащите нормативни документи за безопасност и здраве при работа, включително изискванията на Наредба 2 за минималните изисквания за здравословни и безопасни условия на труд, Приложение N1 към чл.2, ал.2. Изкопите да са оградени и сигнализирани  за избягване на злополуки.</w:t>
      </w:r>
    </w:p>
    <w:p w14:paraId="3CB3BB36" w14:textId="77777777" w:rsidR="00640AF3" w:rsidRPr="007C32F0" w:rsidRDefault="00640AF3" w:rsidP="00640AF3">
      <w:pPr>
        <w:pStyle w:val="ListParagraph"/>
        <w:ind w:left="0" w:firstLine="284"/>
        <w:jc w:val="both"/>
        <w:rPr>
          <w:szCs w:val="24"/>
        </w:rPr>
      </w:pPr>
      <w:r w:rsidRPr="007C32F0">
        <w:rPr>
          <w:szCs w:val="24"/>
        </w:rPr>
        <w:t>Тъй като изкопите могат да предизвикат прекъсване на движението, необходимо е да се предвидят и осъществят съответните обезопасяващи мероприятия като временни ограждания, маркиращи сигнали за околни пътища, които да бъдат в съответствие с правилата за организация и безопасност на движението. Към работните проекти е разработена част ВОБД. Изпълнителят изцяло носи отговорност за всички произтичащи от неговата небрежност по отношение на безопасността събития. Строителството ще се извършва с подходяща за целта строителна техника и механизация.</w:t>
      </w:r>
    </w:p>
    <w:p w14:paraId="5621E7CC" w14:textId="77777777" w:rsidR="00640AF3" w:rsidRPr="007C32F0" w:rsidRDefault="00640AF3" w:rsidP="00640AF3">
      <w:pPr>
        <w:pStyle w:val="Heading3"/>
        <w:numPr>
          <w:ilvl w:val="3"/>
          <w:numId w:val="1"/>
        </w:numPr>
        <w:tabs>
          <w:tab w:val="left" w:pos="993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3" w:name="_Toc497548694"/>
      <w:bookmarkStart w:id="24" w:name="_Toc284854438"/>
      <w:bookmarkStart w:id="25" w:name="_Toc454193023"/>
      <w:r w:rsidRPr="007C32F0">
        <w:rPr>
          <w:rFonts w:ascii="Times New Roman" w:hAnsi="Times New Roman"/>
          <w:sz w:val="24"/>
          <w:szCs w:val="24"/>
        </w:rPr>
        <w:t>Отводняване на изкоп от подпочвени води</w:t>
      </w:r>
      <w:bookmarkEnd w:id="23"/>
      <w:bookmarkEnd w:id="24"/>
      <w:bookmarkEnd w:id="25"/>
    </w:p>
    <w:p w14:paraId="6DC66D80" w14:textId="77777777" w:rsidR="00640AF3" w:rsidRPr="007C32F0" w:rsidRDefault="00640AF3" w:rsidP="00640AF3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 xml:space="preserve">Изпълнителят ще трябва да прилага подходяща за него технология на отводняване и ще трябва да осигури цялостна поддръжка и работа на всички помпи, маркучи и </w:t>
      </w:r>
      <w:r w:rsidRPr="007C32F0">
        <w:rPr>
          <w:szCs w:val="24"/>
        </w:rPr>
        <w:lastRenderedPageBreak/>
        <w:t>устройства, които са необходими за отводняване на дъното на изкопа и осигуряване изпълнението на работите при сухи условия.</w:t>
      </w:r>
    </w:p>
    <w:p w14:paraId="7063B305" w14:textId="77777777" w:rsidR="00640AF3" w:rsidRPr="007C32F0" w:rsidRDefault="00640AF3" w:rsidP="00640AF3">
      <w:pPr>
        <w:pStyle w:val="Heading3"/>
        <w:numPr>
          <w:ilvl w:val="2"/>
          <w:numId w:val="1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6" w:name="_Toc337126926"/>
      <w:bookmarkStart w:id="27" w:name="_Toc454193024"/>
      <w:r w:rsidRPr="007C32F0">
        <w:rPr>
          <w:rFonts w:ascii="Times New Roman" w:hAnsi="Times New Roman"/>
          <w:sz w:val="24"/>
          <w:szCs w:val="24"/>
        </w:rPr>
        <w:t>Изпитване и дезинфекция на водопроводите:</w:t>
      </w:r>
      <w:bookmarkEnd w:id="26"/>
      <w:bookmarkEnd w:id="27"/>
    </w:p>
    <w:p w14:paraId="3BD7B9D5" w14:textId="77777777" w:rsidR="00640AF3" w:rsidRPr="007C32F0" w:rsidRDefault="00640AF3" w:rsidP="00F235B0">
      <w:pPr>
        <w:pStyle w:val="ListParagraph"/>
        <w:spacing w:before="240"/>
        <w:ind w:left="0" w:firstLine="284"/>
        <w:jc w:val="both"/>
        <w:rPr>
          <w:szCs w:val="24"/>
        </w:rPr>
      </w:pPr>
      <w:bookmarkStart w:id="28" w:name="_Toc337126927"/>
      <w:r w:rsidRPr="007C32F0">
        <w:rPr>
          <w:szCs w:val="24"/>
        </w:rPr>
        <w:t xml:space="preserve">Изпитването на водопроводите да се извърши съгласно БДС EN 805 </w:t>
      </w:r>
      <w:r w:rsidRPr="007C32F0">
        <w:rPr>
          <w:szCs w:val="24"/>
          <w:lang w:eastAsia="bg-BG"/>
        </w:rPr>
        <w:t>(или еквивалентен)</w:t>
      </w:r>
      <w:r w:rsidRPr="007C32F0">
        <w:rPr>
          <w:szCs w:val="24"/>
        </w:rPr>
        <w:t xml:space="preserve"> и Наредба 2 от 22.03.2005 г. за проектиране, изграждане и експлоатация на водоснабдителни системи. Допуска се отклонение само в случай, че е изготвен метод на изпитване от Изпълнителя, съобразен с конкретните условия на място и този метод е приет от надзора</w:t>
      </w:r>
    </w:p>
    <w:p w14:paraId="5E00F353" w14:textId="77777777" w:rsidR="00640AF3" w:rsidRPr="007C32F0" w:rsidRDefault="00640AF3" w:rsidP="00F235B0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>Дезинфекцията на водопроводите да се извърши съгласно БДС EN 805 (или еквивалентен), точка 12 или по друг залегнал в действащата нормативната уредба начин.</w:t>
      </w:r>
      <w:bookmarkEnd w:id="28"/>
    </w:p>
    <w:p w14:paraId="658393E9" w14:textId="77777777" w:rsidR="00640AF3" w:rsidRPr="007C32F0" w:rsidRDefault="00640AF3" w:rsidP="00640AF3">
      <w:pPr>
        <w:pStyle w:val="Heading2"/>
        <w:numPr>
          <w:ilvl w:val="1"/>
          <w:numId w:val="1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29" w:name="_Toc454193025"/>
      <w:r w:rsidRPr="007C32F0">
        <w:rPr>
          <w:rFonts w:ascii="Times New Roman" w:hAnsi="Times New Roman" w:cs="Times New Roman"/>
          <w:sz w:val="24"/>
          <w:szCs w:val="24"/>
          <w:lang w:val="bg-BG"/>
        </w:rPr>
        <w:t>Канализационна мрежа:</w:t>
      </w:r>
      <w:bookmarkEnd w:id="29"/>
    </w:p>
    <w:p w14:paraId="03CE4CE8" w14:textId="77777777" w:rsidR="00640AF3" w:rsidRPr="007C32F0" w:rsidRDefault="00640AF3" w:rsidP="00B32AD4">
      <w:pPr>
        <w:pStyle w:val="Heading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bookmarkStart w:id="30" w:name="_Toc454193026"/>
      <w:r w:rsidRPr="007C32F0">
        <w:rPr>
          <w:rFonts w:ascii="Times New Roman" w:hAnsi="Times New Roman"/>
          <w:sz w:val="24"/>
          <w:szCs w:val="24"/>
        </w:rPr>
        <w:t>Тръби</w:t>
      </w:r>
      <w:bookmarkEnd w:id="30"/>
    </w:p>
    <w:p w14:paraId="1C690C0B" w14:textId="77777777" w:rsidR="00640AF3" w:rsidRPr="007C32F0" w:rsidRDefault="00604ADA" w:rsidP="00640AF3">
      <w:pPr>
        <w:spacing w:before="24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>Тръбите за канализация да са от РР</w:t>
      </w:r>
      <w:r w:rsidRPr="007C32F0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, 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съгласно стандарт БДС EN 13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>476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или еквивалентен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>. Диаметрите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са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DN 315</w:t>
      </w:r>
      <w:r w:rsidR="00F235B0" w:rsidRPr="007C32F0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DN 400</w:t>
      </w:r>
      <w:r w:rsidR="00F235B0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F235B0" w:rsidRPr="007C32F0">
        <w:rPr>
          <w:rFonts w:ascii="Times New Roman" w:hAnsi="Times New Roman" w:cs="Times New Roman"/>
          <w:sz w:val="24"/>
          <w:szCs w:val="24"/>
          <w:lang w:val="en-US" w:eastAsia="bg-BG"/>
        </w:rPr>
        <w:t>DN 500</w:t>
      </w:r>
      <w:r w:rsidR="00640AF3" w:rsidRPr="007C32F0">
        <w:rPr>
          <w:rFonts w:ascii="Times New Roman" w:hAnsi="Times New Roman" w:cs="Times New Roman"/>
          <w:sz w:val="24"/>
          <w:szCs w:val="24"/>
          <w:lang w:eastAsia="bg-BG"/>
        </w:rPr>
        <w:t>. Коравината на тръби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>те</w:t>
      </w:r>
      <w:r w:rsidR="00DA48EA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да е най-малко SN 8.</w:t>
      </w:r>
    </w:p>
    <w:p w14:paraId="04FFB879" w14:textId="77777777" w:rsidR="00640AF3" w:rsidRPr="007C32F0" w:rsidRDefault="00640AF3" w:rsidP="00640AF3">
      <w:pPr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154AF74" w14:textId="77777777" w:rsidR="00640AF3" w:rsidRPr="007C32F0" w:rsidRDefault="00640AF3" w:rsidP="00640AF3">
      <w:pPr>
        <w:pStyle w:val="Heading3"/>
        <w:numPr>
          <w:ilvl w:val="2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1" w:name="_Toc454193027"/>
      <w:r w:rsidRPr="007C32F0">
        <w:rPr>
          <w:rFonts w:ascii="Times New Roman" w:hAnsi="Times New Roman"/>
          <w:sz w:val="24"/>
          <w:szCs w:val="24"/>
        </w:rPr>
        <w:t>Ревизионни шахти и дъждоприемни шахти (улични оттоци).</w:t>
      </w:r>
      <w:bookmarkEnd w:id="31"/>
    </w:p>
    <w:p w14:paraId="08DBE982" w14:textId="77777777" w:rsidR="00640AF3" w:rsidRPr="007C32F0" w:rsidRDefault="00640AF3" w:rsidP="00640AF3">
      <w:pPr>
        <w:spacing w:before="24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>Видът на ревизионните шахти е посочен в чертежите от приложения работен проект. Промени в конструкцията и материалите за РШ се допускат само със съгласието на Възложителя, Надзора и Проектанта. По отношение на материалите ревизионните шахти са от предварително изработени стоманобетонови и бетонови елементи съгласно БДС EN 1917</w:t>
      </w:r>
      <w:r w:rsidR="00604ADA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или еквивалентен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7799D712" w14:textId="77777777" w:rsidR="00640AF3" w:rsidRPr="007C32F0" w:rsidRDefault="00640AF3" w:rsidP="00640AF3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3DCCC3E" w14:textId="77777777" w:rsidR="00640AF3" w:rsidRPr="007C32F0" w:rsidRDefault="00640AF3" w:rsidP="00640AF3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>Класът на капаците на ревизионните шахти да е D 400 или по-висок съгласно БДС EN124</w:t>
      </w:r>
      <w:r w:rsidR="00604ADA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или еквивалентен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>. Материалът може да е от полимербетон или чугун.</w:t>
      </w:r>
    </w:p>
    <w:p w14:paraId="2894465C" w14:textId="77777777" w:rsidR="00640AF3" w:rsidRPr="007C32F0" w:rsidRDefault="00640AF3" w:rsidP="00640AF3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</w:rPr>
        <w:t>Дъждоприемните  шахти се състоят от отвесно тяло -  бетонни тръби с диаметър Ø400 и чугунена решетка с клас на натоварване C250 или по-висок. Връзката между дъждоприемните шахти и уличния канал се изпълнява от пластмасови тръби DN200, а включването им става спрямо приложените детайли.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Капаците на дъждоприемните шахти да са от полимербетон или чугун съгласно БДС EN 124</w:t>
      </w:r>
      <w:r w:rsidR="00604ADA"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или еквивалентен</w:t>
      </w:r>
      <w:r w:rsidRPr="007C32F0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5B5BF71C" w14:textId="77777777" w:rsidR="00640AF3" w:rsidRPr="007C32F0" w:rsidRDefault="00640AF3" w:rsidP="00640AF3">
      <w:pPr>
        <w:pStyle w:val="Heading3"/>
        <w:numPr>
          <w:ilvl w:val="2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2" w:name="_Toc337113533"/>
      <w:bookmarkStart w:id="33" w:name="_Toc454193028"/>
      <w:r w:rsidRPr="007C32F0">
        <w:rPr>
          <w:rFonts w:ascii="Times New Roman" w:hAnsi="Times New Roman"/>
          <w:sz w:val="24"/>
          <w:szCs w:val="24"/>
        </w:rPr>
        <w:t>Начин на полагане на тръбопроводите:</w:t>
      </w:r>
      <w:bookmarkEnd w:id="32"/>
      <w:bookmarkEnd w:id="33"/>
    </w:p>
    <w:p w14:paraId="7223D625" w14:textId="77777777" w:rsidR="00640AF3" w:rsidRPr="007C32F0" w:rsidRDefault="00640AF3" w:rsidP="00B32AD4">
      <w:pPr>
        <w:pStyle w:val="Heading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4" w:name="_Toc454193029"/>
      <w:r w:rsidRPr="007C32F0">
        <w:rPr>
          <w:rFonts w:ascii="Times New Roman" w:hAnsi="Times New Roman"/>
          <w:sz w:val="24"/>
          <w:szCs w:val="24"/>
        </w:rPr>
        <w:t>Общи положения</w:t>
      </w:r>
      <w:bookmarkEnd w:id="34"/>
    </w:p>
    <w:p w14:paraId="63DB35A3" w14:textId="77777777" w:rsidR="00640AF3" w:rsidRPr="007C32F0" w:rsidRDefault="00640AF3" w:rsidP="00640AF3">
      <w:pPr>
        <w:spacing w:before="24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C32F0">
        <w:rPr>
          <w:rFonts w:ascii="Times New Roman" w:hAnsi="Times New Roman" w:cs="Times New Roman"/>
          <w:sz w:val="24"/>
          <w:szCs w:val="24"/>
        </w:rPr>
        <w:t>Предвижда се полагането на канализационните тръби да се изпълни траншейно.</w:t>
      </w:r>
    </w:p>
    <w:p w14:paraId="6BA59324" w14:textId="77777777" w:rsidR="00640AF3" w:rsidRPr="007C32F0" w:rsidRDefault="00640AF3" w:rsidP="00640AF3">
      <w:pPr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4A0ABF9E" w14:textId="77777777" w:rsidR="00640AF3" w:rsidRPr="007C32F0" w:rsidRDefault="00640AF3" w:rsidP="006369CE">
      <w:pPr>
        <w:numPr>
          <w:ilvl w:val="3"/>
          <w:numId w:val="1"/>
        </w:numPr>
        <w:spacing w:before="120" w:after="120"/>
        <w:ind w:left="1134" w:hanging="77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 Сградни отклонения</w:t>
      </w:r>
    </w:p>
    <w:p w14:paraId="1965EDD6" w14:textId="77777777" w:rsidR="00640AF3" w:rsidRPr="007C32F0" w:rsidRDefault="00640AF3" w:rsidP="0092794E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lastRenderedPageBreak/>
        <w:t xml:space="preserve"> Начинът на полагане и свързване към канализационната мрежа</w:t>
      </w:r>
      <w:r w:rsidR="0082484C" w:rsidRPr="007C32F0">
        <w:rPr>
          <w:rFonts w:ascii="Times New Roman" w:hAnsi="Times New Roman" w:cs="Times New Roman"/>
          <w:sz w:val="24"/>
          <w:szCs w:val="24"/>
        </w:rPr>
        <w:t xml:space="preserve"> на сградни</w:t>
      </w:r>
      <w:r w:rsidR="00E945CA" w:rsidRPr="007C32F0">
        <w:rPr>
          <w:rFonts w:ascii="Times New Roman" w:hAnsi="Times New Roman" w:cs="Times New Roman"/>
          <w:sz w:val="24"/>
          <w:szCs w:val="24"/>
        </w:rPr>
        <w:t>те</w:t>
      </w:r>
      <w:r w:rsidR="0082484C" w:rsidRPr="007C32F0">
        <w:rPr>
          <w:rFonts w:ascii="Times New Roman" w:hAnsi="Times New Roman" w:cs="Times New Roman"/>
          <w:sz w:val="24"/>
          <w:szCs w:val="24"/>
        </w:rPr>
        <w:t xml:space="preserve"> канализационни отклонения</w:t>
      </w:r>
      <w:r w:rsidRPr="007C32F0">
        <w:rPr>
          <w:rFonts w:ascii="Times New Roman" w:hAnsi="Times New Roman" w:cs="Times New Roman"/>
          <w:sz w:val="24"/>
          <w:szCs w:val="24"/>
        </w:rPr>
        <w:t xml:space="preserve"> е показан </w:t>
      </w:r>
      <w:r w:rsidR="00604ADA" w:rsidRPr="007C32F0">
        <w:rPr>
          <w:rFonts w:ascii="Times New Roman" w:hAnsi="Times New Roman" w:cs="Times New Roman"/>
          <w:sz w:val="24"/>
          <w:szCs w:val="24"/>
        </w:rPr>
        <w:t xml:space="preserve">в </w:t>
      </w:r>
      <w:r w:rsidRPr="007C32F0">
        <w:rPr>
          <w:rFonts w:ascii="Times New Roman" w:hAnsi="Times New Roman" w:cs="Times New Roman"/>
          <w:sz w:val="24"/>
          <w:szCs w:val="24"/>
        </w:rPr>
        <w:t xml:space="preserve">детайл в </w:t>
      </w:r>
      <w:r w:rsidR="00604ADA" w:rsidRPr="007C32F0">
        <w:rPr>
          <w:rFonts w:ascii="Times New Roman" w:hAnsi="Times New Roman" w:cs="Times New Roman"/>
          <w:sz w:val="24"/>
          <w:szCs w:val="24"/>
        </w:rPr>
        <w:t xml:space="preserve">одобрения </w:t>
      </w:r>
      <w:r w:rsidRPr="007C32F0">
        <w:rPr>
          <w:rFonts w:ascii="Times New Roman" w:hAnsi="Times New Roman" w:cs="Times New Roman"/>
          <w:sz w:val="24"/>
          <w:szCs w:val="24"/>
        </w:rPr>
        <w:t>проект.</w:t>
      </w:r>
    </w:p>
    <w:p w14:paraId="7661F19F" w14:textId="77777777" w:rsidR="00640AF3" w:rsidRPr="007C32F0" w:rsidRDefault="00640AF3" w:rsidP="0092794E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Изграждането на СКО да е до границата на имотите.</w:t>
      </w:r>
    </w:p>
    <w:p w14:paraId="267F5A86" w14:textId="77777777" w:rsidR="00640AF3" w:rsidRPr="007C32F0" w:rsidRDefault="00640AF3" w:rsidP="00640AF3">
      <w:pPr>
        <w:pStyle w:val="Heading3"/>
        <w:numPr>
          <w:ilvl w:val="2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5" w:name="_Toc454193030"/>
      <w:r w:rsidRPr="007C32F0">
        <w:rPr>
          <w:rFonts w:ascii="Times New Roman" w:hAnsi="Times New Roman"/>
          <w:sz w:val="24"/>
          <w:szCs w:val="24"/>
        </w:rPr>
        <w:t>Изкопи</w:t>
      </w:r>
      <w:bookmarkEnd w:id="35"/>
    </w:p>
    <w:p w14:paraId="7EC08099" w14:textId="77777777" w:rsidR="00640AF3" w:rsidRPr="007C32F0" w:rsidRDefault="00640AF3" w:rsidP="00640AF3">
      <w:pPr>
        <w:spacing w:before="120" w:after="120"/>
        <w:ind w:firstLine="28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 xml:space="preserve">Изкопите за ВиК мрежите трябва да се извършват в съответствие с линии, нива, размери и дълбочини, както е указано в чертежите. Дълбочината на изкопите да бъде в съответствие с надлъжните профили, дъното на изкопите да бъде подравнено. Изпълнителя трябва да пази стените  на изкопа ненарушени, като за целта изпълни необходимото укрепване. </w:t>
      </w:r>
    </w:p>
    <w:p w14:paraId="3A125715" w14:textId="77777777" w:rsidR="00640AF3" w:rsidRPr="007C32F0" w:rsidRDefault="00640AF3" w:rsidP="00640AF3">
      <w:pPr>
        <w:spacing w:before="120" w:after="120"/>
        <w:ind w:firstLine="28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C32F0">
        <w:rPr>
          <w:rFonts w:ascii="Times New Roman" w:hAnsi="Times New Roman" w:cs="Times New Roman"/>
          <w:sz w:val="24"/>
          <w:szCs w:val="24"/>
          <w:lang w:eastAsia="bg-BG"/>
        </w:rPr>
        <w:t>Тъй като изкопите могат да предизвикат прекъсване на движението, необходимо е да се предвидят и осъществят съответните обезопасяващи мероприятия като временни ограждания, маркиращи сигнали за околни пътища, които да бъдат в съответствие с правилата за организация и безопасност на движението. Изпълнителят изцяло носи отговорност за всички произтичащи от неговата небрежност по отношение на безопасността събития. Към работните проекти е разработена част ВОБД. Строителството ще се извършва с подходяща за целта строителна техника и механизация, което ще бъде едно от важните условия отразено в тръжната документация за избор на строител.</w:t>
      </w:r>
    </w:p>
    <w:p w14:paraId="6CA390E0" w14:textId="77777777" w:rsidR="00640AF3" w:rsidRPr="007C32F0" w:rsidRDefault="00640AF3" w:rsidP="00640AF3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 xml:space="preserve">Обратният насип започва с полагането на легло (подложка) под тръбите. Степента на уплътняване да е равна или по-голяма на 96% стандартна плътност по Проктор. След спускане и позициониране на тръбите в траншеята, до </w:t>
      </w:r>
      <w:r w:rsidR="00E945CA" w:rsidRPr="007C32F0">
        <w:rPr>
          <w:rFonts w:ascii="Times New Roman" w:hAnsi="Times New Roman" w:cs="Times New Roman"/>
          <w:sz w:val="24"/>
          <w:szCs w:val="24"/>
        </w:rPr>
        <w:t xml:space="preserve">20 см </w:t>
      </w:r>
      <w:r w:rsidRPr="007C32F0">
        <w:rPr>
          <w:rFonts w:ascii="Times New Roman" w:hAnsi="Times New Roman" w:cs="Times New Roman"/>
          <w:sz w:val="24"/>
          <w:szCs w:val="24"/>
        </w:rPr>
        <w:t xml:space="preserve">над теме тръба се засипва </w:t>
      </w:r>
      <w:r w:rsidR="00E945CA" w:rsidRPr="007C32F0">
        <w:rPr>
          <w:rFonts w:ascii="Times New Roman" w:hAnsi="Times New Roman" w:cs="Times New Roman"/>
          <w:sz w:val="24"/>
          <w:szCs w:val="24"/>
        </w:rPr>
        <w:t>с пясък</w:t>
      </w:r>
      <w:r w:rsidRPr="007C32F0">
        <w:rPr>
          <w:rFonts w:ascii="Times New Roman" w:hAnsi="Times New Roman" w:cs="Times New Roman"/>
          <w:sz w:val="24"/>
          <w:szCs w:val="24"/>
        </w:rPr>
        <w:t>. Основната обратна засипка до кота пътно легло се изпълнява с изкопаната земна маса от траншеята. Степента на уплътняване да е равна или по-голяма на 96 % стандартна плътност по Проктор. Уплътняването да става на пластове с не по-голяма височина от 30 cm.</w:t>
      </w:r>
    </w:p>
    <w:p w14:paraId="59F9CFD1" w14:textId="77777777" w:rsidR="00640AF3" w:rsidRPr="007C32F0" w:rsidRDefault="00640AF3" w:rsidP="00640AF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2F0">
        <w:rPr>
          <w:rFonts w:ascii="Times New Roman" w:hAnsi="Times New Roman" w:cs="Times New Roman"/>
          <w:sz w:val="24"/>
          <w:szCs w:val="24"/>
        </w:rPr>
        <w:t>За доказване на степента на уплътнение да се взима по една проба на всеки 200 м или по една проба в или в близост до всяко осово кръстовище.</w:t>
      </w:r>
    </w:p>
    <w:p w14:paraId="5FA67B3C" w14:textId="77777777" w:rsidR="00640AF3" w:rsidRPr="007C32F0" w:rsidRDefault="00640AF3" w:rsidP="00640AF3">
      <w:pPr>
        <w:pStyle w:val="Heading2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36" w:name="_Toc454193031"/>
      <w:r w:rsidRPr="007C32F0">
        <w:rPr>
          <w:rFonts w:ascii="Times New Roman" w:hAnsi="Times New Roman" w:cs="Times New Roman"/>
          <w:sz w:val="24"/>
          <w:szCs w:val="24"/>
          <w:lang w:val="bg-BG"/>
        </w:rPr>
        <w:t>Допълнителни изисквания</w:t>
      </w:r>
      <w:bookmarkEnd w:id="36"/>
    </w:p>
    <w:p w14:paraId="10D2A5BC" w14:textId="77777777" w:rsidR="007C32F0" w:rsidRPr="007C32F0" w:rsidRDefault="00640AF3" w:rsidP="007C32F0">
      <w:pPr>
        <w:pStyle w:val="ListParagraph"/>
        <w:spacing w:before="240"/>
        <w:ind w:left="0" w:firstLine="284"/>
        <w:jc w:val="both"/>
        <w:rPr>
          <w:szCs w:val="24"/>
        </w:rPr>
      </w:pPr>
      <w:r w:rsidRPr="007C32F0">
        <w:rPr>
          <w:szCs w:val="24"/>
        </w:rPr>
        <w:t>Транспортирането на тръбите трябва да става със специално оборудван за целта транспорт. Дължината на транспортното средство трябва да бъде в съответствие с дължината на тръбите и да е оборудвано със специална платформа от плоскост или скара, върху която се поставят тръбите. Гредичките на скарата да са на разстояние не по-голямо от 10 пъти диаметъра на тръбата, а плоскостите да са без грапавини. Тръбите не трябва да са извън платформата. За предпочитане е рулоните да се разполагат в хоризонтално положение. Закрепването на товара може да става с въжета, канап или найлонови влакна, като се подлагат подходящи материали за да се избягват триене или повреди. Необходимо е да се спазват и специфичните изисквания на фирмата производител за опаковане и транспорт.</w:t>
      </w:r>
    </w:p>
    <w:p w14:paraId="7C2CD737" w14:textId="77777777" w:rsidR="007C32F0" w:rsidRPr="007C32F0" w:rsidRDefault="007C32F0" w:rsidP="00AB3C97">
      <w:pPr>
        <w:pStyle w:val="Heading1"/>
        <w:keepLines/>
        <w:numPr>
          <w:ilvl w:val="0"/>
          <w:numId w:val="1"/>
        </w:numPr>
        <w:tabs>
          <w:tab w:val="left" w:pos="284"/>
        </w:tabs>
        <w:spacing w:before="48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7" w:name="_Toc454193032"/>
      <w:r w:rsidRPr="007C32F0">
        <w:rPr>
          <w:rFonts w:ascii="Times New Roman" w:hAnsi="Times New Roman"/>
          <w:sz w:val="24"/>
          <w:szCs w:val="24"/>
        </w:rPr>
        <w:lastRenderedPageBreak/>
        <w:t>Линеен календарен график</w:t>
      </w:r>
      <w:bookmarkEnd w:id="37"/>
    </w:p>
    <w:p w14:paraId="5F49427A" w14:textId="77777777" w:rsidR="007C32F0" w:rsidRPr="007C32F0" w:rsidRDefault="007C32F0" w:rsidP="007C32F0">
      <w:pPr>
        <w:pStyle w:val="ListParagraph"/>
        <w:spacing w:before="240"/>
        <w:ind w:left="0" w:firstLine="284"/>
        <w:jc w:val="both"/>
        <w:rPr>
          <w:szCs w:val="24"/>
          <w:lang w:val="en-US"/>
        </w:rPr>
      </w:pPr>
      <w:r w:rsidRPr="007C32F0">
        <w:rPr>
          <w:szCs w:val="24"/>
        </w:rPr>
        <w:t>Прилага</w:t>
      </w:r>
      <w:r w:rsidRPr="007C32F0">
        <w:rPr>
          <w:szCs w:val="24"/>
          <w:lang w:val="en-US"/>
        </w:rPr>
        <w:t xml:space="preserve"> се предварителен подробен линеен календарен график за изпълнение на СМР, разположени във времето, представляващ действителните общи намерения на Изпълнителя за етапно изпълнение на строителството, който да обхваща времето за подготовка, изграждане и предаване на обекта с протокол-образец 15, съгласно ЗУТ.</w:t>
      </w:r>
    </w:p>
    <w:p w14:paraId="188838EF" w14:textId="77777777" w:rsidR="007C32F0" w:rsidRPr="007C32F0" w:rsidRDefault="007C32F0" w:rsidP="007C32F0">
      <w:pPr>
        <w:pStyle w:val="ListParagraph"/>
        <w:spacing w:before="240"/>
        <w:ind w:left="0" w:firstLine="284"/>
        <w:jc w:val="both"/>
        <w:rPr>
          <w:szCs w:val="24"/>
          <w:lang w:val="en-US"/>
        </w:rPr>
      </w:pPr>
      <w:r w:rsidRPr="007C32F0">
        <w:rPr>
          <w:szCs w:val="24"/>
        </w:rPr>
        <w:t>Линейният</w:t>
      </w:r>
      <w:r w:rsidRPr="007C32F0">
        <w:rPr>
          <w:szCs w:val="24"/>
          <w:lang w:val="en-US"/>
        </w:rPr>
        <w:t xml:space="preserve"> график в частта на изпълнението на СМР трябва да се изготви по клонове/ улици. От него трябва да личат междинните срокове за завършване на отделните клонове/ улици от работите. Графикът трябва да включва времето за изпълнение и последователността на изпълнение на отделните участъци, взаимна обвързаност между тях и да демонстрира умението да се организира изпълнението на СМР в рамките на поставените крайни срокове, при минимални усложнения, свързани със затваряне на улици и прекъсване на движението.</w:t>
      </w:r>
    </w:p>
    <w:p w14:paraId="3CFCF0E8" w14:textId="77777777" w:rsidR="007C32F0" w:rsidRPr="007C32F0" w:rsidRDefault="007C32F0" w:rsidP="007C32F0">
      <w:pPr>
        <w:pStyle w:val="ListParagraph"/>
        <w:spacing w:before="240"/>
        <w:ind w:left="0" w:firstLine="284"/>
        <w:jc w:val="both"/>
        <w:rPr>
          <w:szCs w:val="24"/>
          <w:lang w:val="en-US"/>
        </w:rPr>
      </w:pPr>
      <w:r w:rsidRPr="007C32F0">
        <w:rPr>
          <w:szCs w:val="24"/>
          <w:lang w:val="en-US"/>
        </w:rPr>
        <w:t>Дейностите в Линейния график подлежат на последващо съгласуване със законоустановените органи след подписване на договора за изпълнение.</w:t>
      </w:r>
    </w:p>
    <w:p w14:paraId="4EB2C414" w14:textId="77777777" w:rsidR="007C32F0" w:rsidRPr="007C32F0" w:rsidRDefault="007C32F0" w:rsidP="007C32F0">
      <w:pPr>
        <w:pStyle w:val="ListParagraph"/>
        <w:spacing w:before="240"/>
        <w:ind w:left="0" w:firstLine="284"/>
        <w:jc w:val="both"/>
        <w:rPr>
          <w:szCs w:val="24"/>
          <w:lang w:val="en-US"/>
        </w:rPr>
      </w:pPr>
      <w:r w:rsidRPr="007C32F0">
        <w:rPr>
          <w:szCs w:val="24"/>
          <w:lang w:val="en-US"/>
        </w:rPr>
        <w:t>Дейностите, предложени от участника за изпълнение трябва да съответстват</w:t>
      </w:r>
      <w:r w:rsidR="00260785">
        <w:rPr>
          <w:szCs w:val="24"/>
        </w:rPr>
        <w:t xml:space="preserve"> изцяло</w:t>
      </w:r>
      <w:r w:rsidRPr="007C32F0">
        <w:rPr>
          <w:szCs w:val="24"/>
          <w:lang w:val="en-US"/>
        </w:rPr>
        <w:t xml:space="preserve"> с тези </w:t>
      </w:r>
      <w:r>
        <w:rPr>
          <w:szCs w:val="24"/>
        </w:rPr>
        <w:t xml:space="preserve">представени </w:t>
      </w:r>
      <w:r w:rsidRPr="007C32F0">
        <w:rPr>
          <w:szCs w:val="24"/>
          <w:lang w:val="en-US"/>
        </w:rPr>
        <w:t>в линейния график.</w:t>
      </w:r>
    </w:p>
    <w:p w14:paraId="3B191E44" w14:textId="77777777" w:rsidR="00640AF3" w:rsidRPr="007C32F0" w:rsidRDefault="00640AF3" w:rsidP="00640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0AF3" w:rsidRPr="007C32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67E5" w14:textId="77777777" w:rsidR="00C828F7" w:rsidRDefault="00C828F7" w:rsidP="00A03D6C">
      <w:pPr>
        <w:spacing w:after="0" w:line="240" w:lineRule="auto"/>
      </w:pPr>
      <w:r>
        <w:separator/>
      </w:r>
    </w:p>
  </w:endnote>
  <w:endnote w:type="continuationSeparator" w:id="0">
    <w:p w14:paraId="49ED0633" w14:textId="77777777" w:rsidR="00C828F7" w:rsidRDefault="00C828F7" w:rsidP="00A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258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2A413" w14:textId="62BC7BE9" w:rsidR="00C828F7" w:rsidRDefault="00C828F7" w:rsidP="00A03D6C">
        <w:pPr>
          <w:pStyle w:val="Footer"/>
          <w:jc w:val="right"/>
        </w:pPr>
        <w:r w:rsidRPr="00A03D6C">
          <w:rPr>
            <w:rFonts w:ascii="Times New Roman" w:hAnsi="Times New Roman" w:cs="Times New Roman"/>
            <w:sz w:val="24"/>
          </w:rPr>
          <w:fldChar w:fldCharType="begin"/>
        </w:r>
        <w:r w:rsidRPr="00A03D6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03D6C">
          <w:rPr>
            <w:rFonts w:ascii="Times New Roman" w:hAnsi="Times New Roman" w:cs="Times New Roman"/>
            <w:sz w:val="24"/>
          </w:rPr>
          <w:fldChar w:fldCharType="separate"/>
        </w:r>
        <w:r w:rsidR="00421B41">
          <w:rPr>
            <w:rFonts w:ascii="Times New Roman" w:hAnsi="Times New Roman" w:cs="Times New Roman"/>
            <w:noProof/>
            <w:sz w:val="24"/>
          </w:rPr>
          <w:t>10</w:t>
        </w:r>
        <w:r w:rsidRPr="00A03D6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E863E" w14:textId="77777777" w:rsidR="00C828F7" w:rsidRDefault="00C828F7" w:rsidP="00A03D6C">
      <w:pPr>
        <w:spacing w:after="0" w:line="240" w:lineRule="auto"/>
      </w:pPr>
      <w:r>
        <w:separator/>
      </w:r>
    </w:p>
  </w:footnote>
  <w:footnote w:type="continuationSeparator" w:id="0">
    <w:p w14:paraId="38822341" w14:textId="77777777" w:rsidR="00C828F7" w:rsidRDefault="00C828F7" w:rsidP="00A0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CB1"/>
    <w:multiLevelType w:val="multilevel"/>
    <w:tmpl w:val="42CA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E651B8"/>
    <w:multiLevelType w:val="hybridMultilevel"/>
    <w:tmpl w:val="14D0C366"/>
    <w:lvl w:ilvl="0" w:tplc="534E6B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E343FA"/>
    <w:multiLevelType w:val="hybridMultilevel"/>
    <w:tmpl w:val="3C586430"/>
    <w:lvl w:ilvl="0" w:tplc="0402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" w15:restartNumberingAfterBreak="0">
    <w:nsid w:val="4A463044"/>
    <w:multiLevelType w:val="hybridMultilevel"/>
    <w:tmpl w:val="C3E00D68"/>
    <w:lvl w:ilvl="0" w:tplc="76143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5975"/>
    <w:multiLevelType w:val="hybridMultilevel"/>
    <w:tmpl w:val="A5CAE456"/>
    <w:lvl w:ilvl="0" w:tplc="84E81A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7E944C38"/>
    <w:multiLevelType w:val="hybridMultilevel"/>
    <w:tmpl w:val="57444CA2"/>
    <w:lvl w:ilvl="0" w:tplc="156AD760">
      <w:numFmt w:val="bullet"/>
      <w:lvlText w:val="-"/>
      <w:lvlJc w:val="left"/>
      <w:pPr>
        <w:ind w:left="1314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DA"/>
    <w:rsid w:val="00086822"/>
    <w:rsid w:val="00155146"/>
    <w:rsid w:val="001E6959"/>
    <w:rsid w:val="00260785"/>
    <w:rsid w:val="00260F70"/>
    <w:rsid w:val="002E30D7"/>
    <w:rsid w:val="00333EFA"/>
    <w:rsid w:val="003571E8"/>
    <w:rsid w:val="00413013"/>
    <w:rsid w:val="00421B41"/>
    <w:rsid w:val="004A3C23"/>
    <w:rsid w:val="004A585F"/>
    <w:rsid w:val="004C55BA"/>
    <w:rsid w:val="004F78FF"/>
    <w:rsid w:val="005A453B"/>
    <w:rsid w:val="005B1E05"/>
    <w:rsid w:val="005B55AF"/>
    <w:rsid w:val="005C03F6"/>
    <w:rsid w:val="005E66A8"/>
    <w:rsid w:val="00604ADA"/>
    <w:rsid w:val="006369CE"/>
    <w:rsid w:val="00640AF3"/>
    <w:rsid w:val="006759DA"/>
    <w:rsid w:val="00753478"/>
    <w:rsid w:val="007A7F30"/>
    <w:rsid w:val="007C32F0"/>
    <w:rsid w:val="007D65CD"/>
    <w:rsid w:val="008042DB"/>
    <w:rsid w:val="0082484C"/>
    <w:rsid w:val="008B11DD"/>
    <w:rsid w:val="008E1F4F"/>
    <w:rsid w:val="008F4202"/>
    <w:rsid w:val="008F6A1E"/>
    <w:rsid w:val="0092794E"/>
    <w:rsid w:val="00932B6A"/>
    <w:rsid w:val="00A03BB2"/>
    <w:rsid w:val="00A03D6C"/>
    <w:rsid w:val="00AB3C97"/>
    <w:rsid w:val="00AD5A5A"/>
    <w:rsid w:val="00B32AD4"/>
    <w:rsid w:val="00C53F1F"/>
    <w:rsid w:val="00C828F7"/>
    <w:rsid w:val="00D12DC1"/>
    <w:rsid w:val="00DA48EA"/>
    <w:rsid w:val="00DB46F9"/>
    <w:rsid w:val="00DB529C"/>
    <w:rsid w:val="00DB553B"/>
    <w:rsid w:val="00DE7E67"/>
    <w:rsid w:val="00E7290C"/>
    <w:rsid w:val="00E85809"/>
    <w:rsid w:val="00E945CA"/>
    <w:rsid w:val="00ED2563"/>
    <w:rsid w:val="00F235B0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41C"/>
  <w15:docId w15:val="{0807D006-D0F8-4F37-8C4C-461FC8E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0AF3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color w:val="000000"/>
      <w:sz w:val="28"/>
      <w:szCs w:val="28"/>
      <w:u w:val="single"/>
      <w:lang w:val="en-AU"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AF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AF3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0AF3"/>
    <w:rPr>
      <w:rFonts w:ascii="Arial" w:eastAsia="Batang" w:hAnsi="Arial" w:cs="Arial"/>
      <w:b/>
      <w:bCs/>
      <w:i/>
      <w:iCs/>
      <w:color w:val="000000"/>
      <w:sz w:val="28"/>
      <w:szCs w:val="28"/>
      <w:u w:val="single"/>
      <w:lang w:val="en-AU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640AF3"/>
    <w:rPr>
      <w:rFonts w:ascii="Cambria" w:eastAsia="Times New Roman" w:hAnsi="Cambria" w:cs="Times New Roman"/>
      <w:b/>
      <w:bCs/>
      <w:noProof/>
      <w:sz w:val="26"/>
      <w:szCs w:val="26"/>
    </w:rPr>
  </w:style>
  <w:style w:type="character" w:styleId="Hyperlink">
    <w:name w:val="Hyperlink"/>
    <w:uiPriority w:val="99"/>
    <w:rsid w:val="00640AF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640AF3"/>
    <w:pPr>
      <w:ind w:left="720"/>
    </w:pPr>
    <w:rPr>
      <w:rFonts w:ascii="Times New Roman" w:eastAsia="Calibri" w:hAnsi="Times New Roman" w:cs="Times New Roman"/>
      <w:noProof/>
      <w:sz w:val="24"/>
    </w:rPr>
  </w:style>
  <w:style w:type="paragraph" w:customStyle="1" w:styleId="Default">
    <w:name w:val="Default"/>
    <w:rsid w:val="00640AF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40AF3"/>
    <w:pPr>
      <w:tabs>
        <w:tab w:val="left" w:pos="440"/>
        <w:tab w:val="right" w:leader="dot" w:pos="9781"/>
      </w:tabs>
      <w:spacing w:after="100"/>
    </w:pPr>
    <w:rPr>
      <w:rFonts w:ascii="Calibri" w:eastAsia="Calibri" w:hAnsi="Calibri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40AF3"/>
    <w:pPr>
      <w:tabs>
        <w:tab w:val="left" w:pos="880"/>
        <w:tab w:val="right" w:leader="dot" w:pos="9771"/>
      </w:tabs>
      <w:spacing w:after="0"/>
      <w:ind w:left="221"/>
    </w:pPr>
    <w:rPr>
      <w:rFonts w:ascii="Calibri" w:eastAsia="Calibri" w:hAnsi="Calibr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40AF3"/>
    <w:pPr>
      <w:tabs>
        <w:tab w:val="left" w:pos="1320"/>
        <w:tab w:val="right" w:leader="dot" w:pos="9781"/>
      </w:tabs>
      <w:spacing w:after="100"/>
      <w:ind w:left="440" w:right="1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640AF3"/>
    <w:rPr>
      <w:rFonts w:ascii="Times New Roman" w:eastAsia="Calibri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A0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6C"/>
  </w:style>
  <w:style w:type="paragraph" w:styleId="Footer">
    <w:name w:val="footer"/>
    <w:basedOn w:val="Normal"/>
    <w:link w:val="FooterChar"/>
    <w:uiPriority w:val="99"/>
    <w:unhideWhenUsed/>
    <w:rsid w:val="00A0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6C"/>
  </w:style>
  <w:style w:type="paragraph" w:styleId="BalloonText">
    <w:name w:val="Balloon Text"/>
    <w:basedOn w:val="Normal"/>
    <w:link w:val="BalloonTextChar"/>
    <w:uiPriority w:val="99"/>
    <w:semiHidden/>
    <w:unhideWhenUsed/>
    <w:rsid w:val="0093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3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5B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F235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35B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-bg.org/standard/search.php?directive_id=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ds-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1774-A559-441E-B967-AAC3B4A1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2016-06-10T08:39:00Z</cp:lastPrinted>
  <dcterms:created xsi:type="dcterms:W3CDTF">2016-07-14T13:13:00Z</dcterms:created>
  <dcterms:modified xsi:type="dcterms:W3CDTF">2016-07-15T07:48:00Z</dcterms:modified>
</cp:coreProperties>
</file>